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3A" w:rsidRDefault="00A765DE" w:rsidP="004A2295">
      <w:pPr>
        <w:spacing w:after="0" w:line="240" w:lineRule="auto"/>
        <w:jc w:val="center"/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</w:pPr>
      <w:r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  <w:t>OFFICE FURNITURE</w:t>
      </w:r>
      <w:r w:rsidR="00DF6F46"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  <w:t xml:space="preserve"> - </w:t>
      </w:r>
      <w:r w:rsidR="004A2295" w:rsidRPr="00E75100"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  <w:t>STATE OF IDAHO</w:t>
      </w:r>
    </w:p>
    <w:p w:rsidR="000D2F66" w:rsidRPr="00E75100" w:rsidRDefault="000D2F66" w:rsidP="004A2295">
      <w:pPr>
        <w:spacing w:after="0" w:line="240" w:lineRule="auto"/>
        <w:jc w:val="center"/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</w:pPr>
    </w:p>
    <w:p w:rsidR="000B6F04" w:rsidRDefault="00B05667" w:rsidP="00E75100">
      <w:pPr>
        <w:spacing w:after="0" w:line="240" w:lineRule="auto"/>
        <w:jc w:val="center"/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  <w:t>GROUP DESCRIPTIONS</w:t>
      </w:r>
    </w:p>
    <w:p w:rsidR="000D2F66" w:rsidRPr="00E75100" w:rsidRDefault="000D2F66" w:rsidP="00E75100">
      <w:pPr>
        <w:spacing w:after="0" w:line="240" w:lineRule="auto"/>
        <w:jc w:val="center"/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pct20" w:color="auto" w:fill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F6F46" w:rsidRPr="00A765DE" w:rsidTr="00DF6F46">
        <w:trPr>
          <w:trHeight w:val="264"/>
          <w:tblCellSpacing w:w="15" w:type="dxa"/>
          <w:jc w:val="center"/>
        </w:trPr>
        <w:tc>
          <w:tcPr>
            <w:tcW w:w="9390" w:type="dxa"/>
            <w:shd w:val="pct20" w:color="auto" w:fill="auto"/>
            <w:vAlign w:val="center"/>
            <w:hideMark/>
          </w:tcPr>
          <w:p w:rsidR="00DF6F46" w:rsidRPr="00A765DE" w:rsidRDefault="00DF6F46" w:rsidP="00C37CCA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5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Workspace Furniture</w:t>
            </w:r>
          </w:p>
        </w:tc>
      </w:tr>
      <w:tr w:rsidR="00DF6F46" w:rsidRPr="00A765DE" w:rsidTr="00DF6F46">
        <w:trPr>
          <w:trHeight w:val="1332"/>
          <w:tblCellSpacing w:w="15" w:type="dxa"/>
          <w:jc w:val="center"/>
        </w:trPr>
        <w:tc>
          <w:tcPr>
            <w:tcW w:w="9390" w:type="dxa"/>
            <w:shd w:val="clear" w:color="auto" w:fill="FFFFFF" w:themeFill="background1"/>
            <w:vAlign w:val="center"/>
            <w:hideMark/>
          </w:tcPr>
          <w:p w:rsidR="00DF6F46" w:rsidRDefault="00DF6F46" w:rsidP="00A7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765DE">
              <w:rPr>
                <w:rFonts w:cs="Arial"/>
                <w:color w:val="000000"/>
              </w:rPr>
              <w:t>The Workspace Furniture category group</w:t>
            </w:r>
            <w:r w:rsidR="005056D1">
              <w:rPr>
                <w:rFonts w:cs="Arial"/>
                <w:color w:val="000000"/>
              </w:rPr>
              <w:t>s</w:t>
            </w:r>
            <w:r w:rsidRPr="00A765DE">
              <w:rPr>
                <w:rFonts w:cs="Arial"/>
                <w:color w:val="000000"/>
              </w:rPr>
              <w:t xml:space="preserve"> together three (3) categories of coordinating furniture. This category has been created so that end users of the resulting contracts have an option of selecting from a group of coordinating furniture for the office environment. </w:t>
            </w:r>
          </w:p>
          <w:p w:rsidR="000D2F66" w:rsidRPr="00A765DE" w:rsidRDefault="000D2F66" w:rsidP="00A7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DF6F46" w:rsidRDefault="00DF6F46" w:rsidP="00A7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765DE">
              <w:rPr>
                <w:rFonts w:cs="Arial"/>
                <w:b/>
                <w:bCs/>
                <w:color w:val="000000"/>
              </w:rPr>
              <w:t xml:space="preserve">Systems Furniture and Accessories: </w:t>
            </w:r>
            <w:r w:rsidRPr="00A765DE">
              <w:rPr>
                <w:rFonts w:cs="Arial"/>
                <w:color w:val="000000"/>
              </w:rPr>
              <w:t xml:space="preserve">Systems furniture, including monolithic and frame and tile, is a generic term for panels, work-surfaces, shelves, and other items sold by a single manufacturer as a package for furnishing offices. Cubicles and the sea of cubicles are the items most often associated with systems furniture, but other open plan arrangements are included. </w:t>
            </w:r>
          </w:p>
          <w:p w:rsidR="000D2F66" w:rsidRPr="00A765DE" w:rsidRDefault="000D2F66" w:rsidP="00A7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DF6F46" w:rsidRDefault="00DF6F46" w:rsidP="00A7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765DE">
              <w:rPr>
                <w:rFonts w:cs="Arial"/>
                <w:b/>
                <w:bCs/>
                <w:color w:val="000000"/>
              </w:rPr>
              <w:t xml:space="preserve">Desks/Tables and Accessories: </w:t>
            </w:r>
            <w:r w:rsidRPr="00A765DE">
              <w:rPr>
                <w:rFonts w:cs="Arial"/>
                <w:color w:val="000000"/>
              </w:rPr>
              <w:t xml:space="preserve">A desk/table is a freestanding unit having a work surface that is supported by legs or pedestals, in some instances; the unit will have sit-to-stand capability, drawer(s), doors, or other storage elements. Free-standing desks, conference room tables, small office tables, side tables, and dining tables are included in this category. </w:t>
            </w:r>
          </w:p>
          <w:p w:rsidR="000D2F66" w:rsidRPr="00A765DE" w:rsidRDefault="000D2F66" w:rsidP="00A7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DF6F46" w:rsidRDefault="00DF6F46" w:rsidP="00A765DE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765DE">
              <w:rPr>
                <w:rFonts w:cs="Arial"/>
                <w:b/>
                <w:bCs/>
                <w:color w:val="000000"/>
              </w:rPr>
              <w:t xml:space="preserve">Filing and Storage and Accessories: </w:t>
            </w:r>
            <w:r w:rsidRPr="00A765DE">
              <w:rPr>
                <w:rFonts w:cs="Arial"/>
                <w:color w:val="000000"/>
              </w:rPr>
              <w:t>The filing and storage category may include, but is not limited to; bookcases, wardrobes, cabinets, Free-standing and mobile pedestals, and wall mounted shelving. This category does not include shelving units that are attached to system furniture cubicle walls.</w:t>
            </w:r>
          </w:p>
          <w:p w:rsidR="000D2F66" w:rsidRPr="00A765DE" w:rsidRDefault="000D2F66" w:rsidP="00A765DE">
            <w:pPr>
              <w:spacing w:after="0" w:line="240" w:lineRule="auto"/>
              <w:jc w:val="both"/>
              <w:rPr>
                <w:rFonts w:eastAsia="Times New Roman" w:cs="Arial"/>
              </w:rPr>
            </w:pPr>
          </w:p>
        </w:tc>
      </w:tr>
      <w:tr w:rsidR="00DF6F46" w:rsidRPr="00A765DE" w:rsidTr="00DF6F46">
        <w:trPr>
          <w:trHeight w:val="297"/>
          <w:tblCellSpacing w:w="15" w:type="dxa"/>
          <w:jc w:val="center"/>
        </w:trPr>
        <w:tc>
          <w:tcPr>
            <w:tcW w:w="9390" w:type="dxa"/>
            <w:shd w:val="pct20" w:color="auto" w:fill="auto"/>
            <w:vAlign w:val="center"/>
          </w:tcPr>
          <w:p w:rsidR="00DF6F46" w:rsidRPr="00DF6F46" w:rsidRDefault="00DF6F46" w:rsidP="00DF6F46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F6F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Seating and Accessories</w:t>
            </w:r>
          </w:p>
        </w:tc>
      </w:tr>
      <w:tr w:rsidR="00DF6F46" w:rsidRPr="00A765DE" w:rsidTr="00DF6F46">
        <w:trPr>
          <w:trHeight w:val="1620"/>
          <w:tblCellSpacing w:w="15" w:type="dxa"/>
          <w:jc w:val="center"/>
        </w:trPr>
        <w:tc>
          <w:tcPr>
            <w:tcW w:w="9390" w:type="dxa"/>
            <w:shd w:val="clear" w:color="auto" w:fill="FFFFFF" w:themeFill="background1"/>
          </w:tcPr>
          <w:p w:rsidR="00DF6F46" w:rsidRPr="004A2295" w:rsidRDefault="00DF6F46" w:rsidP="00DF6F46">
            <w:pPr>
              <w:jc w:val="both"/>
              <w:rPr>
                <w:sz w:val="24"/>
                <w:szCs w:val="28"/>
              </w:rPr>
            </w:pPr>
            <w:r w:rsidRPr="00A765DE">
              <w:t>The seating category includes both high back and standard executive chairs, conference room chairs, task/work chairs that may have multiple seat pan sizes and are either mesh back or fabric with arms or without and guest/side chairs that have both four point and star bases. This category also includes optional reception/lounge seating, dispatch chairs, stackable/foldable chairs, collaborative, and stationary and height adjustable stools.</w:t>
            </w:r>
            <w:r w:rsidRPr="00A765DE">
              <w:rPr>
                <w:rFonts w:eastAsia="Times New Roman" w:cs="Arial"/>
              </w:rPr>
              <w:t>)</w:t>
            </w:r>
          </w:p>
        </w:tc>
      </w:tr>
    </w:tbl>
    <w:p w:rsidR="000D2F66" w:rsidRDefault="000D2F66" w:rsidP="000B6F0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D2F66" w:rsidRPr="005B714D" w:rsidRDefault="000D2F66" w:rsidP="000B6F0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9348" w:type="dxa"/>
        <w:shd w:val="pct15" w:color="auto" w:fill="auto"/>
        <w:tblLook w:val="04A0" w:firstRow="1" w:lastRow="0" w:firstColumn="1" w:lastColumn="0" w:noHBand="0" w:noVBand="1"/>
      </w:tblPr>
      <w:tblGrid>
        <w:gridCol w:w="4135"/>
        <w:gridCol w:w="5213"/>
      </w:tblGrid>
      <w:tr w:rsidR="005B714D" w:rsidRPr="005B714D" w:rsidTr="00922B00">
        <w:trPr>
          <w:trHeight w:val="393"/>
        </w:trPr>
        <w:tc>
          <w:tcPr>
            <w:tcW w:w="9348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81963" w:rsidRPr="00E75100" w:rsidRDefault="005B714D" w:rsidP="00E75100">
            <w:pPr>
              <w:jc w:val="center"/>
              <w:rPr>
                <w:rFonts w:ascii="Impact" w:hAnsi="Impact"/>
                <w:color w:val="365F91" w:themeColor="accent1" w:themeShade="BF"/>
                <w:sz w:val="44"/>
                <w:szCs w:val="24"/>
              </w:rPr>
            </w:pPr>
            <w:r w:rsidRPr="00E75100">
              <w:rPr>
                <w:rFonts w:ascii="Impact" w:hAnsi="Impact"/>
                <w:color w:val="365F91" w:themeColor="accent1" w:themeShade="BF"/>
                <w:sz w:val="44"/>
                <w:szCs w:val="24"/>
              </w:rPr>
              <w:t>A</w:t>
            </w:r>
            <w:r w:rsidR="00881963" w:rsidRPr="00E75100">
              <w:rPr>
                <w:rFonts w:ascii="Impact" w:hAnsi="Impact"/>
                <w:color w:val="365F91" w:themeColor="accent1" w:themeShade="BF"/>
                <w:sz w:val="44"/>
                <w:szCs w:val="24"/>
              </w:rPr>
              <w:t>wards by Category</w:t>
            </w:r>
          </w:p>
        </w:tc>
      </w:tr>
      <w:tr w:rsidR="00A765DE" w:rsidRPr="005B714D" w:rsidTr="00922B00">
        <w:trPr>
          <w:trHeight w:val="458"/>
        </w:trPr>
        <w:tc>
          <w:tcPr>
            <w:tcW w:w="4135" w:type="dxa"/>
            <w:shd w:val="clear" w:color="auto" w:fill="auto"/>
            <w:vAlign w:val="center"/>
          </w:tcPr>
          <w:p w:rsidR="00A765DE" w:rsidRPr="005B714D" w:rsidRDefault="00A765DE" w:rsidP="005B714D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Workspace Furniture</w:t>
            </w:r>
          </w:p>
        </w:tc>
        <w:tc>
          <w:tcPr>
            <w:tcW w:w="5213" w:type="dxa"/>
            <w:shd w:val="clear" w:color="auto" w:fill="auto"/>
            <w:vAlign w:val="center"/>
          </w:tcPr>
          <w:p w:rsidR="00A765DE" w:rsidRPr="005B714D" w:rsidRDefault="00A765DE" w:rsidP="005B714D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>Seating and Accessories</w:t>
            </w:r>
          </w:p>
        </w:tc>
      </w:tr>
      <w:tr w:rsidR="00A765DE" w:rsidRPr="005B714D" w:rsidTr="00922B00">
        <w:trPr>
          <w:trHeight w:val="1178"/>
        </w:trPr>
        <w:tc>
          <w:tcPr>
            <w:tcW w:w="4135" w:type="dxa"/>
            <w:shd w:val="clear" w:color="auto" w:fill="auto"/>
          </w:tcPr>
          <w:p w:rsidR="00A765DE" w:rsidRDefault="00DF6F46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Allsteel</w:t>
            </w:r>
          </w:p>
          <w:p w:rsidR="00DF6F46" w:rsidRDefault="00DF6F46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Herman Miller</w:t>
            </w:r>
          </w:p>
          <w:p w:rsidR="00DF6F46" w:rsidRDefault="00DF6F46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HON Company</w:t>
            </w:r>
          </w:p>
          <w:p w:rsidR="00DF6F46" w:rsidRPr="005B714D" w:rsidRDefault="00DF6F46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Steelcase</w:t>
            </w:r>
          </w:p>
        </w:tc>
        <w:tc>
          <w:tcPr>
            <w:tcW w:w="5213" w:type="dxa"/>
            <w:shd w:val="clear" w:color="auto" w:fill="auto"/>
          </w:tcPr>
          <w:p w:rsidR="00A765DE" w:rsidRDefault="00DF6F46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Allsteel </w:t>
            </w:r>
          </w:p>
          <w:p w:rsidR="00DF6F46" w:rsidRDefault="00DF6F46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Haworth</w:t>
            </w:r>
          </w:p>
          <w:p w:rsidR="00DF6F46" w:rsidRDefault="00DF6F46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Herman Miller</w:t>
            </w:r>
          </w:p>
          <w:p w:rsidR="00A765DE" w:rsidRPr="005B714D" w:rsidRDefault="00DF6F46" w:rsidP="00DF6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Steelcase</w:t>
            </w:r>
          </w:p>
        </w:tc>
      </w:tr>
    </w:tbl>
    <w:p w:rsidR="00881963" w:rsidRDefault="00881963" w:rsidP="00B439C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D2F66" w:rsidRDefault="000D2F66" w:rsidP="00B439C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9800" w:type="dxa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1885"/>
        <w:gridCol w:w="1980"/>
        <w:gridCol w:w="1890"/>
        <w:gridCol w:w="2160"/>
        <w:gridCol w:w="1885"/>
      </w:tblGrid>
      <w:tr w:rsidR="005B714D" w:rsidRPr="005B714D" w:rsidTr="005B714D">
        <w:trPr>
          <w:trHeight w:val="322"/>
          <w:jc w:val="center"/>
        </w:trPr>
        <w:tc>
          <w:tcPr>
            <w:tcW w:w="9800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81963" w:rsidRPr="005B714D" w:rsidRDefault="00881963" w:rsidP="00E7510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75100">
              <w:rPr>
                <w:rFonts w:ascii="Impact" w:hAnsi="Impact"/>
                <w:color w:val="365F91" w:themeColor="accent1" w:themeShade="BF"/>
                <w:sz w:val="44"/>
                <w:szCs w:val="24"/>
              </w:rPr>
              <w:t>Awards by Vendor</w:t>
            </w:r>
          </w:p>
        </w:tc>
      </w:tr>
      <w:tr w:rsidR="00DF6F46" w:rsidRPr="005B714D" w:rsidTr="00DF6F46">
        <w:trPr>
          <w:trHeight w:val="530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DF6F46" w:rsidRPr="00DF6F46" w:rsidRDefault="00DF6F46" w:rsidP="005B71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6F46">
              <w:rPr>
                <w:rFonts w:asciiTheme="minorHAnsi" w:hAnsiTheme="minorHAnsi"/>
                <w:b/>
                <w:sz w:val="22"/>
                <w:szCs w:val="22"/>
              </w:rPr>
              <w:t>Allsteel</w:t>
            </w:r>
          </w:p>
          <w:p w:rsidR="00DF6F46" w:rsidRPr="00DF6F46" w:rsidRDefault="00DF6F46" w:rsidP="005B71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6F46">
              <w:rPr>
                <w:rFonts w:asciiTheme="minorHAnsi" w:hAnsiTheme="minorHAnsi"/>
                <w:b/>
                <w:sz w:val="22"/>
                <w:szCs w:val="22"/>
              </w:rPr>
              <w:t>PADD1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8200479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6F46" w:rsidRPr="00DF6F46" w:rsidRDefault="00DF6F46" w:rsidP="004A22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6F46">
              <w:rPr>
                <w:rFonts w:asciiTheme="minorHAnsi" w:hAnsiTheme="minorHAnsi"/>
                <w:b/>
                <w:sz w:val="22"/>
                <w:szCs w:val="22"/>
              </w:rPr>
              <w:t>Haworth PADD1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8200490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F6F46" w:rsidRDefault="00DF6F46" w:rsidP="005B71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6F46">
              <w:rPr>
                <w:rFonts w:asciiTheme="minorHAnsi" w:hAnsiTheme="minorHAnsi"/>
                <w:b/>
                <w:sz w:val="22"/>
                <w:szCs w:val="22"/>
              </w:rPr>
              <w:t>Herman Miller</w:t>
            </w:r>
          </w:p>
          <w:p w:rsidR="00DF6F46" w:rsidRPr="00DF6F46" w:rsidRDefault="00DF6F46" w:rsidP="005B71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PADD18200482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F6F46" w:rsidRDefault="00DF6F46" w:rsidP="005B71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6F46">
              <w:rPr>
                <w:rFonts w:asciiTheme="minorHAnsi" w:hAnsiTheme="minorHAnsi"/>
                <w:b/>
                <w:sz w:val="22"/>
                <w:szCs w:val="22"/>
              </w:rPr>
              <w:t>The HON Company</w:t>
            </w:r>
          </w:p>
          <w:p w:rsidR="00DF6F46" w:rsidRPr="00DF6F46" w:rsidRDefault="00DF6F46" w:rsidP="005B71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PADD182</w:t>
            </w:r>
            <w:r w:rsidR="00922B00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F6F46" w:rsidRDefault="00DF6F46" w:rsidP="005B71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6F46">
              <w:rPr>
                <w:rFonts w:asciiTheme="minorHAnsi" w:hAnsiTheme="minorHAnsi"/>
                <w:b/>
                <w:sz w:val="22"/>
                <w:szCs w:val="22"/>
              </w:rPr>
              <w:t>Steelcase</w:t>
            </w:r>
          </w:p>
          <w:p w:rsidR="00922B00" w:rsidRPr="00DF6F46" w:rsidRDefault="00922B00" w:rsidP="005B71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PADD18200507</w:t>
            </w:r>
          </w:p>
        </w:tc>
      </w:tr>
      <w:tr w:rsidR="00DF6F46" w:rsidRPr="005B714D" w:rsidTr="00DF6F46">
        <w:trPr>
          <w:trHeight w:val="980"/>
          <w:jc w:val="center"/>
        </w:trPr>
        <w:tc>
          <w:tcPr>
            <w:tcW w:w="1885" w:type="dxa"/>
            <w:shd w:val="clear" w:color="auto" w:fill="auto"/>
          </w:tcPr>
          <w:p w:rsidR="00DF6F46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Workspace Furniture</w:t>
            </w:r>
          </w:p>
          <w:p w:rsidR="00DF6F46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  <w:p w:rsidR="00DF6F46" w:rsidRPr="004A2295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Seating</w:t>
            </w:r>
          </w:p>
        </w:tc>
        <w:tc>
          <w:tcPr>
            <w:tcW w:w="1980" w:type="dxa"/>
            <w:shd w:val="clear" w:color="auto" w:fill="auto"/>
          </w:tcPr>
          <w:p w:rsidR="00DF6F46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  <w:p w:rsidR="00DF6F46" w:rsidRPr="004A2295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Seating</w:t>
            </w:r>
          </w:p>
        </w:tc>
        <w:tc>
          <w:tcPr>
            <w:tcW w:w="1890" w:type="dxa"/>
            <w:shd w:val="clear" w:color="auto" w:fill="auto"/>
          </w:tcPr>
          <w:p w:rsidR="00DF6F46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Workspace Furniture</w:t>
            </w:r>
          </w:p>
          <w:p w:rsidR="00DF6F46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  <w:p w:rsidR="00DF6F46" w:rsidRPr="004A2295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Seating</w:t>
            </w:r>
          </w:p>
        </w:tc>
        <w:tc>
          <w:tcPr>
            <w:tcW w:w="2160" w:type="dxa"/>
            <w:shd w:val="clear" w:color="auto" w:fill="auto"/>
          </w:tcPr>
          <w:p w:rsidR="00DF6F46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Workspace Furniture</w:t>
            </w:r>
          </w:p>
          <w:p w:rsidR="00DF6F46" w:rsidRPr="004A2295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DF6F46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Workspace Furniture</w:t>
            </w:r>
          </w:p>
          <w:p w:rsidR="00DF6F46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  <w:p w:rsidR="00DF6F46" w:rsidRPr="004A2295" w:rsidRDefault="00DF6F46" w:rsidP="00DF6F46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/>
                <w:sz w:val="24"/>
                <w:szCs w:val="28"/>
              </w:rPr>
              <w:t>Seating</w:t>
            </w:r>
          </w:p>
        </w:tc>
      </w:tr>
    </w:tbl>
    <w:p w:rsidR="00E75100" w:rsidRPr="00967734" w:rsidRDefault="00E75100" w:rsidP="00967734">
      <w:pPr>
        <w:spacing w:after="0" w:line="240" w:lineRule="auto"/>
        <w:rPr>
          <w:rFonts w:eastAsia="Times New Roman" w:cs="Times New Roman"/>
        </w:rPr>
      </w:pPr>
    </w:p>
    <w:p w:rsidR="00B439C0" w:rsidRDefault="00B439C0" w:rsidP="00B439C0">
      <w:pPr>
        <w:spacing w:after="0" w:line="240" w:lineRule="auto"/>
        <w:jc w:val="both"/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  <w:t>CONTRACT OVERVIEW:</w:t>
      </w:r>
    </w:p>
    <w:p w:rsidR="000D2F66" w:rsidRDefault="000D2F66" w:rsidP="000D2F66">
      <w:pPr>
        <w:spacing w:after="0" w:line="240" w:lineRule="auto"/>
        <w:ind w:left="360"/>
        <w:jc w:val="both"/>
        <w:rPr>
          <w:rFonts w:eastAsia="Times New Roman" w:cs="Arial"/>
          <w:szCs w:val="20"/>
        </w:rPr>
      </w:pPr>
    </w:p>
    <w:p w:rsidR="00324332" w:rsidRPr="00B05667" w:rsidRDefault="00324332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NASPO is a Mandatory-U</w:t>
      </w:r>
      <w:r w:rsidRPr="00B05667">
        <w:rPr>
          <w:rFonts w:eastAsia="Times New Roman" w:cs="Arial"/>
          <w:szCs w:val="20"/>
        </w:rPr>
        <w:t xml:space="preserve">se Contract for State Agencies, </w:t>
      </w:r>
      <w:r>
        <w:rPr>
          <w:rFonts w:eastAsia="Times New Roman" w:cs="Arial"/>
          <w:szCs w:val="20"/>
        </w:rPr>
        <w:t>o</w:t>
      </w:r>
      <w:r w:rsidRPr="00B05667">
        <w:rPr>
          <w:rFonts w:eastAsia="Times New Roman" w:cs="Arial"/>
          <w:szCs w:val="20"/>
        </w:rPr>
        <w:t>ptional use for Poli</w:t>
      </w:r>
      <w:r w:rsidR="000D2F66">
        <w:rPr>
          <w:rFonts w:eastAsia="Times New Roman" w:cs="Arial"/>
          <w:szCs w:val="20"/>
        </w:rPr>
        <w:t xml:space="preserve">tical </w:t>
      </w:r>
      <w:r w:rsidRPr="00B05667">
        <w:rPr>
          <w:rFonts w:eastAsia="Times New Roman" w:cs="Arial"/>
          <w:szCs w:val="20"/>
        </w:rPr>
        <w:t>Sub</w:t>
      </w:r>
      <w:r w:rsidR="000D2F66">
        <w:rPr>
          <w:rFonts w:eastAsia="Times New Roman" w:cs="Arial"/>
          <w:szCs w:val="20"/>
        </w:rPr>
        <w:t>division</w:t>
      </w:r>
      <w:r w:rsidRPr="00B05667">
        <w:rPr>
          <w:rFonts w:eastAsia="Times New Roman" w:cs="Arial"/>
          <w:szCs w:val="20"/>
        </w:rPr>
        <w:t>s, K-12 and non-State Higher Ed.</w:t>
      </w:r>
    </w:p>
    <w:p w:rsidR="0090533F" w:rsidRPr="00B05667" w:rsidRDefault="0090533F" w:rsidP="0090533F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B05667">
        <w:rPr>
          <w:rFonts w:eastAsia="Times New Roman" w:cs="Arial"/>
          <w:szCs w:val="20"/>
        </w:rPr>
        <w:t xml:space="preserve">All </w:t>
      </w:r>
      <w:r>
        <w:rPr>
          <w:rFonts w:eastAsia="Times New Roman" w:cs="Arial"/>
          <w:szCs w:val="20"/>
        </w:rPr>
        <w:t>State A</w:t>
      </w:r>
      <w:r w:rsidRPr="00B05667">
        <w:rPr>
          <w:rFonts w:eastAsia="Times New Roman" w:cs="Arial"/>
          <w:szCs w:val="20"/>
        </w:rPr>
        <w:t>gencies are exempt from the payment of sales or property tax.</w:t>
      </w:r>
    </w:p>
    <w:p w:rsidR="003C24EC" w:rsidRPr="003C24EC" w:rsidRDefault="00324332" w:rsidP="003C24EC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324332">
        <w:rPr>
          <w:rFonts w:eastAsia="Times New Roman" w:cs="Arial"/>
          <w:szCs w:val="20"/>
        </w:rPr>
        <w:t xml:space="preserve">All </w:t>
      </w:r>
      <w:r w:rsidR="0090533F">
        <w:rPr>
          <w:rFonts w:eastAsia="Times New Roman" w:cs="Arial"/>
          <w:szCs w:val="20"/>
        </w:rPr>
        <w:t>State</w:t>
      </w:r>
      <w:r w:rsidRPr="00324332">
        <w:rPr>
          <w:rFonts w:eastAsia="Times New Roman" w:cs="Arial"/>
          <w:szCs w:val="20"/>
        </w:rPr>
        <w:t xml:space="preserve"> Agencies may terminate </w:t>
      </w:r>
      <w:r w:rsidR="005056D1">
        <w:rPr>
          <w:rFonts w:eastAsia="Times New Roman" w:cs="Arial"/>
          <w:szCs w:val="20"/>
        </w:rPr>
        <w:t xml:space="preserve">orders </w:t>
      </w:r>
      <w:r w:rsidRPr="00324332">
        <w:rPr>
          <w:rFonts w:eastAsia="Times New Roman" w:cs="Arial"/>
          <w:szCs w:val="20"/>
        </w:rPr>
        <w:t>with no penalty for Non-appropriation of funds.</w:t>
      </w:r>
    </w:p>
    <w:p w:rsidR="00324332" w:rsidRPr="00324332" w:rsidRDefault="00E75100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Availability of </w:t>
      </w:r>
      <w:r w:rsidR="005056D1">
        <w:rPr>
          <w:rFonts w:eastAsia="Times New Roman" w:cs="Arial"/>
          <w:szCs w:val="20"/>
        </w:rPr>
        <w:t>products</w:t>
      </w:r>
      <w:r>
        <w:rPr>
          <w:rFonts w:eastAsia="Times New Roman" w:cs="Arial"/>
          <w:szCs w:val="20"/>
        </w:rPr>
        <w:t xml:space="preserve"> will vary – </w:t>
      </w:r>
      <w:r w:rsidR="005056D1">
        <w:rPr>
          <w:rFonts w:eastAsia="Times New Roman" w:cs="Arial"/>
          <w:szCs w:val="20"/>
        </w:rPr>
        <w:t xml:space="preserve">product offerings </w:t>
      </w:r>
      <w:r>
        <w:rPr>
          <w:rFonts w:eastAsia="Times New Roman" w:cs="Arial"/>
          <w:szCs w:val="20"/>
        </w:rPr>
        <w:t xml:space="preserve">will be determined based on the </w:t>
      </w:r>
      <w:r w:rsidR="005056D1">
        <w:rPr>
          <w:rFonts w:eastAsia="Times New Roman" w:cs="Arial"/>
          <w:szCs w:val="20"/>
        </w:rPr>
        <w:t xml:space="preserve">individual Manufacturers and </w:t>
      </w:r>
      <w:r>
        <w:rPr>
          <w:rFonts w:eastAsia="Times New Roman" w:cs="Arial"/>
          <w:szCs w:val="20"/>
        </w:rPr>
        <w:t>Scope of Work</w:t>
      </w:r>
      <w:r w:rsidR="00967734">
        <w:rPr>
          <w:rFonts w:eastAsia="Times New Roman" w:cs="Arial"/>
          <w:szCs w:val="20"/>
        </w:rPr>
        <w:t xml:space="preserve"> in </w:t>
      </w:r>
      <w:r w:rsidR="005056D1">
        <w:rPr>
          <w:rFonts w:eastAsia="Times New Roman" w:cs="Arial"/>
          <w:szCs w:val="20"/>
        </w:rPr>
        <w:t>the amended RFP posted by Utah</w:t>
      </w:r>
      <w:r>
        <w:rPr>
          <w:rFonts w:eastAsia="Times New Roman" w:cs="Arial"/>
          <w:szCs w:val="20"/>
        </w:rPr>
        <w:t>.</w:t>
      </w:r>
    </w:p>
    <w:p w:rsidR="00324332" w:rsidRDefault="005056D1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All Manufacturers</w:t>
      </w:r>
      <w:r w:rsidR="008B40AE">
        <w:rPr>
          <w:rFonts w:eastAsia="Times New Roman" w:cs="Arial"/>
          <w:szCs w:val="20"/>
        </w:rPr>
        <w:t xml:space="preserve"> allow for Dealers to bill the State directly. All usage and admin fee information gets reported through the manufacturer.</w:t>
      </w:r>
    </w:p>
    <w:p w:rsidR="005056D1" w:rsidRDefault="005056D1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bookmarkStart w:id="0" w:name="_GoBack"/>
      <w:bookmarkEnd w:id="0"/>
      <w:r>
        <w:rPr>
          <w:rFonts w:eastAsia="Times New Roman" w:cs="Arial"/>
          <w:szCs w:val="20"/>
        </w:rPr>
        <w:t>No furniture leasing options provided.</w:t>
      </w:r>
    </w:p>
    <w:p w:rsidR="004B7D70" w:rsidRDefault="004B7D70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Base pricing includes standard delivery FOB Destination, freight pre-paid with all transportation and handling charges paid by the Contractor.</w:t>
      </w:r>
    </w:p>
    <w:p w:rsidR="004B7D70" w:rsidRDefault="004B7D70" w:rsidP="004B7D70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</w:t>
      </w:r>
      <w:r>
        <w:rPr>
          <w:rFonts w:eastAsia="Times New Roman" w:cs="Arial"/>
          <w:szCs w:val="20"/>
        </w:rPr>
        <w:t>on-</w:t>
      </w:r>
      <w:r>
        <w:rPr>
          <w:rFonts w:eastAsia="Times New Roman" w:cs="Arial"/>
          <w:szCs w:val="20"/>
        </w:rPr>
        <w:t>standard delivery rates are not included in base pricing.</w:t>
      </w:r>
    </w:p>
    <w:p w:rsidR="004B7D70" w:rsidRDefault="004B7D70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Warranty periods begin upon delivery. </w:t>
      </w:r>
    </w:p>
    <w:p w:rsidR="004B7D70" w:rsidRDefault="004B7D70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Payment Terms are Net 30 Days following the date the entire order is delivered or the date the correct invoice is received, whichever is later.</w:t>
      </w:r>
    </w:p>
    <w:p w:rsidR="00324332" w:rsidRDefault="00324332" w:rsidP="004B7D70">
      <w:pPr>
        <w:pStyle w:val="ListParagraph"/>
        <w:ind w:left="420"/>
        <w:jc w:val="both"/>
        <w:rPr>
          <w:sz w:val="28"/>
        </w:rPr>
      </w:pPr>
    </w:p>
    <w:p w:rsidR="004B7D70" w:rsidRDefault="004B7D70" w:rsidP="004B7D70">
      <w:pPr>
        <w:spacing w:after="0" w:line="240" w:lineRule="auto"/>
        <w:jc w:val="both"/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  <w:t>ADDITIONAL SERVICES</w:t>
      </w:r>
      <w:r w:rsidRPr="00E75100"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  <w:t>:</w:t>
      </w:r>
    </w:p>
    <w:p w:rsidR="004B7D70" w:rsidRDefault="004B7D70" w:rsidP="004B7D70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Design Services:</w:t>
      </w:r>
    </w:p>
    <w:p w:rsidR="004B7D70" w:rsidRDefault="004B7D70" w:rsidP="004B7D70">
      <w:pPr>
        <w:numPr>
          <w:ilvl w:val="2"/>
          <w:numId w:val="1"/>
        </w:num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Design Services include but are not limited to; space planning, installation plans, furniture migration strategies, reconfiguration of existing systems, inventory of existing furniture, assistance with furniture selection, interior office design and computerized installation drawings.</w:t>
      </w:r>
    </w:p>
    <w:p w:rsidR="004B7D70" w:rsidRDefault="004B7D70" w:rsidP="004B7D7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B7D70" w:rsidRDefault="004B7D70" w:rsidP="004B7D70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Installation Services:</w:t>
      </w:r>
    </w:p>
    <w:p w:rsidR="004B7D70" w:rsidRDefault="004B7D70" w:rsidP="004B7D70">
      <w:pPr>
        <w:numPr>
          <w:ilvl w:val="2"/>
          <w:numId w:val="1"/>
        </w:num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Installation Services include all labor required to disassemble, assemble, deliver, set-up, install, and otherwise finish an office installation or remodel project.</w:t>
      </w:r>
    </w:p>
    <w:p w:rsidR="004B7D70" w:rsidRDefault="004B7D70" w:rsidP="004B7D7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B7D70" w:rsidRDefault="004B7D70" w:rsidP="004B7D70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Customer Service:</w:t>
      </w:r>
    </w:p>
    <w:p w:rsidR="004B7D70" w:rsidRPr="004B7D70" w:rsidRDefault="004B7D70" w:rsidP="004B7D70">
      <w:pPr>
        <w:numPr>
          <w:ilvl w:val="2"/>
          <w:numId w:val="1"/>
        </w:num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Including, but not limited to; sales service, customer service, product information services and warranty services.</w:t>
      </w:r>
    </w:p>
    <w:p w:rsidR="004B7D70" w:rsidRPr="004B7D70" w:rsidRDefault="004B7D70" w:rsidP="004B7D70">
      <w:pPr>
        <w:pStyle w:val="ListParagraph"/>
        <w:ind w:left="420"/>
        <w:jc w:val="both"/>
        <w:rPr>
          <w:sz w:val="28"/>
        </w:rPr>
      </w:pPr>
    </w:p>
    <w:sectPr w:rsidR="004B7D70" w:rsidRPr="004B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956"/>
    <w:multiLevelType w:val="multilevel"/>
    <w:tmpl w:val="4CAE3954"/>
    <w:lvl w:ilvl="0">
      <w:start w:val="1"/>
      <w:numFmt w:val="bullet"/>
      <w:lvlText w:val="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740E92"/>
    <w:multiLevelType w:val="hybridMultilevel"/>
    <w:tmpl w:val="57829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5BFE"/>
    <w:multiLevelType w:val="hybridMultilevel"/>
    <w:tmpl w:val="5C049C42"/>
    <w:lvl w:ilvl="0" w:tplc="3F32DB9A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725074A"/>
    <w:multiLevelType w:val="hybridMultilevel"/>
    <w:tmpl w:val="48E00E5C"/>
    <w:lvl w:ilvl="0" w:tplc="8B1E9F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B101A"/>
    <w:multiLevelType w:val="hybridMultilevel"/>
    <w:tmpl w:val="5AE2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3A"/>
    <w:rsid w:val="000603C3"/>
    <w:rsid w:val="000B6F04"/>
    <w:rsid w:val="000D2F66"/>
    <w:rsid w:val="000E553A"/>
    <w:rsid w:val="002307A7"/>
    <w:rsid w:val="002F56AD"/>
    <w:rsid w:val="00324332"/>
    <w:rsid w:val="003C24EC"/>
    <w:rsid w:val="00487E5D"/>
    <w:rsid w:val="004910A8"/>
    <w:rsid w:val="004A2295"/>
    <w:rsid w:val="004B7D70"/>
    <w:rsid w:val="005056D1"/>
    <w:rsid w:val="00506B4D"/>
    <w:rsid w:val="00512786"/>
    <w:rsid w:val="005A3650"/>
    <w:rsid w:val="005B714D"/>
    <w:rsid w:val="006367C6"/>
    <w:rsid w:val="00655108"/>
    <w:rsid w:val="00655385"/>
    <w:rsid w:val="00692EAB"/>
    <w:rsid w:val="00765F26"/>
    <w:rsid w:val="00826651"/>
    <w:rsid w:val="00881963"/>
    <w:rsid w:val="008B40AE"/>
    <w:rsid w:val="008C1930"/>
    <w:rsid w:val="0090533F"/>
    <w:rsid w:val="00922B00"/>
    <w:rsid w:val="00967734"/>
    <w:rsid w:val="00990B25"/>
    <w:rsid w:val="00A337ED"/>
    <w:rsid w:val="00A434B4"/>
    <w:rsid w:val="00A765DE"/>
    <w:rsid w:val="00B05667"/>
    <w:rsid w:val="00B16BD1"/>
    <w:rsid w:val="00B439C0"/>
    <w:rsid w:val="00C37CCA"/>
    <w:rsid w:val="00CD2FC3"/>
    <w:rsid w:val="00DF6F46"/>
    <w:rsid w:val="00E10887"/>
    <w:rsid w:val="00E41C85"/>
    <w:rsid w:val="00E75100"/>
    <w:rsid w:val="00F32905"/>
    <w:rsid w:val="00F35AFA"/>
    <w:rsid w:val="00FC353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8E87"/>
  <w15:docId w15:val="{508B59B6-A238-4644-9F58-295CF96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53A"/>
    <w:rPr>
      <w:color w:val="FF0000"/>
      <w:u w:val="single"/>
    </w:rPr>
  </w:style>
  <w:style w:type="paragraph" w:styleId="NormalWeb">
    <w:name w:val="Normal (Web)"/>
    <w:basedOn w:val="Normal"/>
    <w:uiPriority w:val="99"/>
    <w:unhideWhenUsed/>
    <w:rsid w:val="000E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5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6BD1"/>
    <w:rPr>
      <w:color w:val="800080" w:themeColor="followedHyperlink"/>
      <w:u w:val="single"/>
    </w:rPr>
  </w:style>
  <w:style w:type="paragraph" w:customStyle="1" w:styleId="Default">
    <w:name w:val="Default"/>
    <w:rsid w:val="00967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Berry</dc:creator>
  <cp:lastModifiedBy>Arianne Quignon</cp:lastModifiedBy>
  <cp:revision>3</cp:revision>
  <cp:lastPrinted>2016-08-16T19:30:00Z</cp:lastPrinted>
  <dcterms:created xsi:type="dcterms:W3CDTF">2018-06-05T17:05:00Z</dcterms:created>
  <dcterms:modified xsi:type="dcterms:W3CDTF">2018-06-05T21:36:00Z</dcterms:modified>
</cp:coreProperties>
</file>