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48EF" w14:textId="77777777" w:rsidR="00B444B9" w:rsidRDefault="00B444B9" w:rsidP="00B444B9">
      <w:pPr>
        <w:spacing w:after="0" w:line="240" w:lineRule="auto"/>
        <w:ind w:left="-450" w:right="-900"/>
        <w:jc w:val="center"/>
        <w:rPr>
          <w:rFonts w:ascii="Impact" w:eastAsia="Times New Roman" w:hAnsi="Impact" w:cs="Times New Roman"/>
          <w:color w:val="2F5496" w:themeColor="accent1" w:themeShade="BF"/>
          <w:sz w:val="40"/>
          <w:szCs w:val="40"/>
        </w:rPr>
      </w:pPr>
      <w:r>
        <w:rPr>
          <w:rFonts w:ascii="Impact" w:eastAsia="Times New Roman" w:hAnsi="Impact" w:cs="Times New Roman"/>
          <w:color w:val="2F5496" w:themeColor="accent1" w:themeShade="BF"/>
          <w:sz w:val="40"/>
          <w:szCs w:val="40"/>
        </w:rPr>
        <w:t>Data Communications Products and Services</w:t>
      </w:r>
    </w:p>
    <w:p w14:paraId="1550E2C7" w14:textId="4E877574" w:rsidR="00B444B9" w:rsidRDefault="00B444B9" w:rsidP="00B444B9">
      <w:pPr>
        <w:spacing w:after="0" w:line="240" w:lineRule="auto"/>
        <w:ind w:left="-450" w:right="-900"/>
        <w:jc w:val="center"/>
        <w:rPr>
          <w:rFonts w:ascii="Impact" w:eastAsia="Times New Roman" w:hAnsi="Impact" w:cs="Times New Roman"/>
          <w:color w:val="2F5496" w:themeColor="accent1" w:themeShade="BF"/>
          <w:sz w:val="40"/>
          <w:szCs w:val="40"/>
        </w:rPr>
      </w:pPr>
      <w:r w:rsidRPr="009169F2">
        <w:rPr>
          <w:rFonts w:ascii="Impact" w:eastAsia="Times New Roman" w:hAnsi="Impact" w:cs="Times New Roman"/>
          <w:color w:val="2F5496" w:themeColor="accent1" w:themeShade="BF"/>
          <w:sz w:val="40"/>
          <w:szCs w:val="40"/>
        </w:rPr>
        <w:t xml:space="preserve"> </w:t>
      </w:r>
      <w:r w:rsidR="00065E1D">
        <w:rPr>
          <w:rFonts w:ascii="Impact" w:eastAsia="Times New Roman" w:hAnsi="Impact" w:cs="Times New Roman"/>
          <w:color w:val="2F5496" w:themeColor="accent1" w:themeShade="BF"/>
          <w:sz w:val="40"/>
          <w:szCs w:val="40"/>
        </w:rPr>
        <w:t>Contract Overview</w:t>
      </w:r>
      <w:r>
        <w:rPr>
          <w:rFonts w:ascii="Impact" w:eastAsia="Times New Roman" w:hAnsi="Impact" w:cs="Times New Roman"/>
          <w:color w:val="2F5496" w:themeColor="accent1" w:themeShade="BF"/>
          <w:sz w:val="40"/>
          <w:szCs w:val="40"/>
        </w:rPr>
        <w:t xml:space="preserve"> for C</w:t>
      </w:r>
      <w:r w:rsidR="00CB386D">
        <w:rPr>
          <w:rFonts w:ascii="Impact" w:eastAsia="Times New Roman" w:hAnsi="Impact" w:cs="Times New Roman"/>
          <w:color w:val="2F5496" w:themeColor="accent1" w:themeShade="BF"/>
          <w:sz w:val="40"/>
          <w:szCs w:val="40"/>
        </w:rPr>
        <w:t>isco Systems</w:t>
      </w:r>
      <w:r>
        <w:rPr>
          <w:rFonts w:ascii="Impact" w:eastAsia="Times New Roman" w:hAnsi="Impact" w:cs="Times New Roman"/>
          <w:color w:val="2F5496" w:themeColor="accent1" w:themeShade="BF"/>
          <w:sz w:val="40"/>
          <w:szCs w:val="40"/>
        </w:rPr>
        <w:t xml:space="preserve">, Inc. </w:t>
      </w:r>
    </w:p>
    <w:p w14:paraId="5B1899A0" w14:textId="77777777" w:rsidR="00B444B9" w:rsidRPr="009169F2" w:rsidRDefault="00B444B9" w:rsidP="00B444B9">
      <w:pPr>
        <w:spacing w:after="0" w:line="240" w:lineRule="auto"/>
        <w:ind w:left="-450" w:right="-900"/>
        <w:jc w:val="center"/>
        <w:rPr>
          <w:rFonts w:ascii="Impact" w:eastAsia="Times New Roman" w:hAnsi="Impact" w:cs="Times New Roman"/>
          <w:color w:val="2F5496" w:themeColor="accent1" w:themeShade="BF"/>
          <w:sz w:val="40"/>
          <w:szCs w:val="40"/>
        </w:rPr>
      </w:pPr>
      <w:r>
        <w:rPr>
          <w:rFonts w:ascii="Impact" w:eastAsia="Times New Roman" w:hAnsi="Impact" w:cs="Times New Roman"/>
          <w:color w:val="2F5496" w:themeColor="accent1" w:themeShade="BF"/>
          <w:sz w:val="40"/>
          <w:szCs w:val="40"/>
        </w:rPr>
        <w:t>State of Idaho</w:t>
      </w:r>
    </w:p>
    <w:p w14:paraId="6C5FF088" w14:textId="77777777" w:rsidR="00B444B9" w:rsidRPr="00B444B9" w:rsidRDefault="00B444B9" w:rsidP="00B444B9">
      <w:pPr>
        <w:spacing w:after="0"/>
        <w:ind w:left="-450" w:right="-900"/>
        <w:jc w:val="center"/>
        <w:rPr>
          <w:rFonts w:ascii="Impact" w:eastAsia="Times New Roman" w:hAnsi="Impact" w:cs="Times New Roman"/>
          <w:color w:val="000000" w:themeColor="text1"/>
        </w:rPr>
      </w:pPr>
    </w:p>
    <w:p w14:paraId="18575FC7" w14:textId="16BD2847" w:rsidR="00B444B9" w:rsidRDefault="00B444B9" w:rsidP="005E0C40">
      <w:pPr>
        <w:spacing w:after="0"/>
        <w:ind w:left="-450" w:right="-900"/>
        <w:rPr>
          <w:rFonts w:eastAsia="Times New Roman" w:cs="Times New Roman"/>
          <w:color w:val="000000" w:themeColor="text1"/>
        </w:rPr>
      </w:pPr>
      <w:r w:rsidRPr="00B444B9">
        <w:rPr>
          <w:rFonts w:eastAsia="Times New Roman" w:cs="Times New Roman"/>
          <w:color w:val="000000" w:themeColor="text1"/>
        </w:rPr>
        <w:t>Each Contractor w</w:t>
      </w:r>
      <w:r w:rsidR="00E90556">
        <w:rPr>
          <w:rFonts w:eastAsia="Times New Roman" w:cs="Times New Roman"/>
          <w:color w:val="000000" w:themeColor="text1"/>
        </w:rPr>
        <w:softHyphen/>
      </w:r>
      <w:r w:rsidR="00E90556">
        <w:rPr>
          <w:rFonts w:eastAsia="Times New Roman" w:cs="Times New Roman"/>
          <w:color w:val="000000" w:themeColor="text1"/>
        </w:rPr>
        <w:softHyphen/>
      </w:r>
      <w:r w:rsidRPr="00B444B9">
        <w:rPr>
          <w:rFonts w:eastAsia="Times New Roman" w:cs="Times New Roman"/>
          <w:color w:val="000000" w:themeColor="text1"/>
        </w:rPr>
        <w:t>ill have contract specific overviews created. The information in this document is the generic information provided for all Contractors. Please see each PADD Contractor Info Sheet for information specific to each Contractor.</w:t>
      </w:r>
    </w:p>
    <w:p w14:paraId="08E0B561" w14:textId="77777777" w:rsidR="00B26DEF" w:rsidRPr="00B26DEF" w:rsidRDefault="00B26DEF" w:rsidP="005E0C40">
      <w:pPr>
        <w:spacing w:after="0"/>
        <w:ind w:left="-450" w:right="-900"/>
        <w:rPr>
          <w:rFonts w:eastAsia="Times New Roman" w:cs="Times New Roman"/>
          <w:color w:val="000000" w:themeColor="text1"/>
        </w:rPr>
      </w:pPr>
    </w:p>
    <w:p w14:paraId="5826E02D" w14:textId="340C58AE" w:rsidR="00B444B9" w:rsidRPr="001C7BF9" w:rsidRDefault="00B444B9" w:rsidP="005E0C40">
      <w:pPr>
        <w:spacing w:after="0" w:line="240" w:lineRule="auto"/>
        <w:ind w:left="-450" w:right="-900"/>
        <w:rPr>
          <w:b/>
          <w:bCs/>
        </w:rPr>
      </w:pPr>
      <w:r w:rsidRPr="001C7BF9">
        <w:rPr>
          <w:b/>
          <w:bCs/>
        </w:rPr>
        <w:t>Mandatory Use Categories</w:t>
      </w:r>
    </w:p>
    <w:p w14:paraId="2A9CDDAF" w14:textId="44CBBE77" w:rsidR="00215180" w:rsidRPr="000646F7" w:rsidRDefault="00B444B9" w:rsidP="00215180">
      <w:pPr>
        <w:rPr>
          <w:rFonts w:cstheme="minorHAnsi"/>
        </w:rPr>
      </w:pPr>
      <w:r w:rsidRPr="001C7BF9">
        <w:t xml:space="preserve">The categories awarded to </w:t>
      </w:r>
      <w:r w:rsidR="00E90556" w:rsidRPr="00E90556">
        <w:t xml:space="preserve">Cisco </w:t>
      </w:r>
      <w:proofErr w:type="gramStart"/>
      <w:r w:rsidR="00E90556" w:rsidRPr="00E90556">
        <w:t>Systems,</w:t>
      </w:r>
      <w:proofErr w:type="gramEnd"/>
      <w:r w:rsidR="00E90556" w:rsidRPr="00E90556">
        <w:t xml:space="preserve"> Inc</w:t>
      </w:r>
      <w:r w:rsidRPr="001C7BF9">
        <w:t>. include</w:t>
      </w:r>
      <w:r w:rsidR="00215180">
        <w:t xml:space="preserve"> </w:t>
      </w:r>
      <w:r w:rsidR="00215180" w:rsidRPr="000646F7">
        <w:rPr>
          <w:rFonts w:cstheme="minorHAnsi"/>
        </w:rPr>
        <w:t xml:space="preserve">but not limited to the following: </w:t>
      </w:r>
    </w:p>
    <w:p w14:paraId="5EF15931" w14:textId="77777777" w:rsidR="00215180" w:rsidRPr="00FB78E0" w:rsidRDefault="00215180" w:rsidP="00215180">
      <w:pPr>
        <w:pStyle w:val="ListParagraph"/>
        <w:numPr>
          <w:ilvl w:val="0"/>
          <w:numId w:val="3"/>
        </w:numPr>
        <w:spacing w:after="120" w:line="240" w:lineRule="auto"/>
        <w:rPr>
          <w:rFonts w:cstheme="minorHAnsi"/>
        </w:rPr>
      </w:pPr>
      <w:r w:rsidRPr="00FB78E0">
        <w:rPr>
          <w:rFonts w:cstheme="minorHAnsi"/>
        </w:rPr>
        <w:t xml:space="preserve">Unified </w:t>
      </w:r>
      <w:proofErr w:type="gramStart"/>
      <w:r w:rsidRPr="00FB78E0">
        <w:rPr>
          <w:rFonts w:cstheme="minorHAnsi"/>
        </w:rPr>
        <w:t>Communications;</w:t>
      </w:r>
      <w:proofErr w:type="gramEnd"/>
    </w:p>
    <w:p w14:paraId="6BF785BD" w14:textId="77777777" w:rsidR="00215180" w:rsidRPr="00FB78E0" w:rsidRDefault="00215180" w:rsidP="00215180">
      <w:pPr>
        <w:pStyle w:val="ListParagraph"/>
        <w:numPr>
          <w:ilvl w:val="0"/>
          <w:numId w:val="3"/>
        </w:numPr>
        <w:spacing w:after="120" w:line="240" w:lineRule="auto"/>
        <w:rPr>
          <w:rFonts w:cstheme="minorHAnsi"/>
        </w:rPr>
      </w:pPr>
      <w:proofErr w:type="gramStart"/>
      <w:r w:rsidRPr="00FB78E0">
        <w:rPr>
          <w:rFonts w:cstheme="minorHAnsi"/>
        </w:rPr>
        <w:t>Networking;</w:t>
      </w:r>
      <w:proofErr w:type="gramEnd"/>
    </w:p>
    <w:p w14:paraId="11D294CE" w14:textId="77777777" w:rsidR="00215180" w:rsidRPr="00FB78E0" w:rsidRDefault="00215180" w:rsidP="00215180">
      <w:pPr>
        <w:pStyle w:val="ListParagraph"/>
        <w:numPr>
          <w:ilvl w:val="0"/>
          <w:numId w:val="3"/>
        </w:numPr>
        <w:spacing w:after="120" w:line="240" w:lineRule="auto"/>
        <w:rPr>
          <w:rFonts w:cstheme="minorHAnsi"/>
        </w:rPr>
      </w:pPr>
      <w:r w:rsidRPr="00FB78E0">
        <w:rPr>
          <w:rFonts w:cstheme="minorHAnsi"/>
        </w:rPr>
        <w:t>Routers, Switches, Security, and Networking</w:t>
      </w:r>
      <w:r>
        <w:rPr>
          <w:rFonts w:cstheme="minorHAnsi"/>
        </w:rPr>
        <w:t xml:space="preserve"> </w:t>
      </w:r>
      <w:proofErr w:type="gramStart"/>
      <w:r>
        <w:rPr>
          <w:rFonts w:cstheme="minorHAnsi"/>
        </w:rPr>
        <w:t>Storage</w:t>
      </w:r>
      <w:r w:rsidRPr="00FB78E0">
        <w:rPr>
          <w:rFonts w:cstheme="minorHAnsi"/>
        </w:rPr>
        <w:t>;</w:t>
      </w:r>
      <w:proofErr w:type="gramEnd"/>
    </w:p>
    <w:p w14:paraId="56A3611A" w14:textId="77777777" w:rsidR="00215180" w:rsidRPr="00FB78E0" w:rsidRDefault="00215180" w:rsidP="00215180">
      <w:pPr>
        <w:pStyle w:val="ListParagraph"/>
        <w:numPr>
          <w:ilvl w:val="0"/>
          <w:numId w:val="3"/>
        </w:numPr>
        <w:spacing w:after="120" w:line="240" w:lineRule="auto"/>
        <w:rPr>
          <w:rFonts w:cstheme="minorHAnsi"/>
        </w:rPr>
      </w:pPr>
      <w:proofErr w:type="gramStart"/>
      <w:r w:rsidRPr="00FB78E0">
        <w:rPr>
          <w:rFonts w:cstheme="minorHAnsi"/>
        </w:rPr>
        <w:t>Wireless;</w:t>
      </w:r>
      <w:proofErr w:type="gramEnd"/>
      <w:r w:rsidRPr="00FB78E0">
        <w:rPr>
          <w:rFonts w:cstheme="minorHAnsi"/>
        </w:rPr>
        <w:t xml:space="preserve"> </w:t>
      </w:r>
    </w:p>
    <w:p w14:paraId="54D0FA1C" w14:textId="77777777" w:rsidR="00215180" w:rsidRPr="00083A6D" w:rsidRDefault="00215180" w:rsidP="00215180">
      <w:pPr>
        <w:pStyle w:val="ListParagraph"/>
        <w:numPr>
          <w:ilvl w:val="0"/>
          <w:numId w:val="3"/>
        </w:numPr>
        <w:spacing w:after="120" w:line="240" w:lineRule="auto"/>
        <w:rPr>
          <w:rFonts w:cstheme="minorHAnsi"/>
        </w:rPr>
      </w:pPr>
      <w:r w:rsidRPr="00083A6D">
        <w:rPr>
          <w:rFonts w:cstheme="minorHAnsi"/>
        </w:rPr>
        <w:t xml:space="preserve">Facility Management, Monitoring, and </w:t>
      </w:r>
      <w:proofErr w:type="gramStart"/>
      <w:r w:rsidRPr="00083A6D">
        <w:rPr>
          <w:rFonts w:cstheme="minorHAnsi"/>
        </w:rPr>
        <w:t>Control;</w:t>
      </w:r>
      <w:proofErr w:type="gramEnd"/>
      <w:r w:rsidRPr="00083A6D">
        <w:rPr>
          <w:rFonts w:cstheme="minorHAnsi"/>
        </w:rPr>
        <w:t xml:space="preserve"> </w:t>
      </w:r>
    </w:p>
    <w:p w14:paraId="7017F1F0" w14:textId="77777777" w:rsidR="00215180" w:rsidRPr="00083A6D" w:rsidRDefault="00215180" w:rsidP="00215180">
      <w:pPr>
        <w:pStyle w:val="ListParagraph"/>
        <w:numPr>
          <w:ilvl w:val="0"/>
          <w:numId w:val="3"/>
        </w:numPr>
        <w:spacing w:after="120" w:line="240" w:lineRule="auto"/>
        <w:rPr>
          <w:rFonts w:cs="Arial"/>
          <w:bCs/>
        </w:rPr>
      </w:pPr>
      <w:r w:rsidRPr="00083A6D">
        <w:rPr>
          <w:rFonts w:cs="Arial"/>
          <w:bCs/>
        </w:rPr>
        <w:t xml:space="preserve">Maintenance </w:t>
      </w:r>
      <w:proofErr w:type="gramStart"/>
      <w:r w:rsidRPr="00083A6D">
        <w:rPr>
          <w:rFonts w:cs="Arial"/>
          <w:bCs/>
        </w:rPr>
        <w:t>Services;</w:t>
      </w:r>
      <w:proofErr w:type="gramEnd"/>
    </w:p>
    <w:p w14:paraId="61A9885C" w14:textId="77777777" w:rsidR="00215180" w:rsidRPr="00083A6D" w:rsidRDefault="00215180" w:rsidP="00215180">
      <w:pPr>
        <w:pStyle w:val="ListParagraph"/>
        <w:numPr>
          <w:ilvl w:val="0"/>
          <w:numId w:val="3"/>
        </w:numPr>
        <w:spacing w:after="120" w:line="240" w:lineRule="auto"/>
        <w:rPr>
          <w:rFonts w:cs="Arial"/>
          <w:bCs/>
        </w:rPr>
      </w:pPr>
      <w:r w:rsidRPr="00083A6D">
        <w:rPr>
          <w:rFonts w:cs="Arial"/>
          <w:bCs/>
        </w:rPr>
        <w:t xml:space="preserve">Professional </w:t>
      </w:r>
      <w:proofErr w:type="gramStart"/>
      <w:r w:rsidRPr="00083A6D">
        <w:rPr>
          <w:rFonts w:cs="Arial"/>
          <w:bCs/>
        </w:rPr>
        <w:t>Services;</w:t>
      </w:r>
      <w:proofErr w:type="gramEnd"/>
    </w:p>
    <w:p w14:paraId="3FE11B25" w14:textId="77777777" w:rsidR="00215180" w:rsidRPr="00083A6D" w:rsidRDefault="00215180" w:rsidP="00215180">
      <w:pPr>
        <w:pStyle w:val="ListParagraph"/>
        <w:numPr>
          <w:ilvl w:val="0"/>
          <w:numId w:val="3"/>
        </w:numPr>
        <w:spacing w:after="120" w:line="240" w:lineRule="auto"/>
        <w:rPr>
          <w:rFonts w:cs="Arial"/>
          <w:bCs/>
        </w:rPr>
      </w:pPr>
      <w:r w:rsidRPr="00083A6D">
        <w:rPr>
          <w:rFonts w:cs="Arial"/>
          <w:bCs/>
        </w:rPr>
        <w:t>Fulfillment Partner Services</w:t>
      </w:r>
      <w:r>
        <w:rPr>
          <w:rFonts w:cs="Arial"/>
          <w:bCs/>
        </w:rPr>
        <w:t>;</w:t>
      </w:r>
      <w:r w:rsidRPr="00083A6D">
        <w:rPr>
          <w:rFonts w:cs="Arial"/>
          <w:bCs/>
        </w:rPr>
        <w:t xml:space="preserve"> and</w:t>
      </w:r>
    </w:p>
    <w:p w14:paraId="39DB3F98" w14:textId="77777777" w:rsidR="00215180" w:rsidRPr="00083A6D" w:rsidRDefault="00215180" w:rsidP="00215180">
      <w:pPr>
        <w:pStyle w:val="ListParagraph"/>
        <w:numPr>
          <w:ilvl w:val="0"/>
          <w:numId w:val="3"/>
        </w:numPr>
        <w:spacing w:after="120" w:line="240" w:lineRule="auto"/>
        <w:rPr>
          <w:bCs/>
        </w:rPr>
      </w:pPr>
      <w:r w:rsidRPr="00083A6D">
        <w:rPr>
          <w:rFonts w:cs="Arial"/>
          <w:bCs/>
        </w:rPr>
        <w:t>Training</w:t>
      </w:r>
    </w:p>
    <w:p w14:paraId="750C766A" w14:textId="5756A4F6" w:rsidR="00593800" w:rsidRPr="001C7BF9" w:rsidRDefault="00BE3D0C" w:rsidP="005E0C40">
      <w:pPr>
        <w:spacing w:after="0" w:line="240" w:lineRule="auto"/>
        <w:ind w:left="-450" w:right="-900"/>
      </w:pPr>
      <w:r w:rsidRPr="001C7BF9">
        <w:t>Review the Master Agreement, pages thirty (30) to thirty-nine (39) for detailed information on each category.</w:t>
      </w:r>
      <w:r w:rsidR="006338FF" w:rsidRPr="001C7BF9">
        <w:t xml:space="preserve"> </w:t>
      </w:r>
      <w:r w:rsidR="000B592B" w:rsidRPr="001C7BF9">
        <w:t>For each category there are Value Added Services available for procurement at the time of product purchase or anytime afterwards. Review the Master Agreement, page thirty-nine (pg. 39) for further details on Value Added Services.</w:t>
      </w:r>
    </w:p>
    <w:p w14:paraId="0486F75F" w14:textId="48CCA7FD" w:rsidR="00BE3D0C" w:rsidRPr="001C7BF9" w:rsidRDefault="00BE3D0C" w:rsidP="005E0C40">
      <w:pPr>
        <w:spacing w:after="0" w:line="240" w:lineRule="auto"/>
        <w:ind w:left="-450" w:right="-900"/>
      </w:pPr>
    </w:p>
    <w:p w14:paraId="6E5582C1" w14:textId="4365D0E9" w:rsidR="00BE3D0C" w:rsidRPr="001C7BF9" w:rsidRDefault="00BE3D0C" w:rsidP="005E0C40">
      <w:pPr>
        <w:spacing w:after="0" w:line="240" w:lineRule="auto"/>
        <w:ind w:left="-450" w:right="-900"/>
        <w:rPr>
          <w:b/>
          <w:bCs/>
        </w:rPr>
      </w:pPr>
      <w:r w:rsidRPr="001C7BF9">
        <w:rPr>
          <w:b/>
          <w:bCs/>
        </w:rPr>
        <w:t>Pricing Discounts and Value-added Services</w:t>
      </w:r>
    </w:p>
    <w:p w14:paraId="22A3A06E" w14:textId="77777777" w:rsidR="00BE3D0C" w:rsidRPr="001C7BF9" w:rsidRDefault="00BE3D0C" w:rsidP="005E0C40">
      <w:pPr>
        <w:spacing w:after="0" w:line="240" w:lineRule="auto"/>
        <w:ind w:left="-450" w:right="-900"/>
      </w:pPr>
      <w:r w:rsidRPr="001C7BF9">
        <w:t>Review the Master Agreement, page forty-one (41) for pricing notes, discounts, and a list of the Value-Added Services.</w:t>
      </w:r>
    </w:p>
    <w:p w14:paraId="2B77F446" w14:textId="4D441B37" w:rsidR="00BE3D0C" w:rsidRPr="001C7BF9" w:rsidRDefault="00BE3D0C" w:rsidP="005E0C40">
      <w:pPr>
        <w:spacing w:after="0" w:line="240" w:lineRule="auto"/>
        <w:ind w:left="-450" w:right="-900"/>
      </w:pPr>
    </w:p>
    <w:p w14:paraId="69A9D4BD" w14:textId="77777777" w:rsidR="006C0343" w:rsidRPr="006C0343" w:rsidRDefault="006C0343" w:rsidP="005E0C40">
      <w:pPr>
        <w:spacing w:after="0" w:line="240" w:lineRule="auto"/>
        <w:ind w:left="-450" w:right="-900"/>
        <w:rPr>
          <w:b/>
          <w:bCs/>
        </w:rPr>
      </w:pPr>
      <w:r w:rsidRPr="006C0343">
        <w:rPr>
          <w:b/>
          <w:bCs/>
        </w:rPr>
        <w:t>Inspection and Acceptance</w:t>
      </w:r>
    </w:p>
    <w:p w14:paraId="6744A3A2" w14:textId="77741104" w:rsidR="006C0343" w:rsidRPr="006C0343" w:rsidRDefault="006C0343" w:rsidP="005E0C40">
      <w:pPr>
        <w:spacing w:after="0" w:line="240" w:lineRule="auto"/>
        <w:ind w:left="-450" w:right="-900"/>
      </w:pPr>
      <w:r w:rsidRPr="006C0343">
        <w:t>Where the Master Agreement or an Order does not otherwise specify a process for</w:t>
      </w:r>
      <w:r w:rsidRPr="001C7BF9">
        <w:t xml:space="preserve"> </w:t>
      </w:r>
      <w:r w:rsidRPr="006C0343">
        <w:t>inspection and Acceptance, this section governs. This section is not intended to limit</w:t>
      </w:r>
      <w:r w:rsidRPr="001C7BF9">
        <w:t xml:space="preserve"> </w:t>
      </w:r>
      <w:r w:rsidRPr="006C0343">
        <w:t>rights and remedies under the applicable commercial code.</w:t>
      </w:r>
    </w:p>
    <w:p w14:paraId="1C83B7E7" w14:textId="22750C53" w:rsidR="006C0343" w:rsidRPr="001C7BF9" w:rsidRDefault="006C0343" w:rsidP="005E0C40">
      <w:pPr>
        <w:spacing w:after="0" w:line="240" w:lineRule="auto"/>
        <w:ind w:left="-450" w:right="-900"/>
      </w:pPr>
    </w:p>
    <w:p w14:paraId="6F665181" w14:textId="5FC752AE" w:rsidR="006C0343" w:rsidRPr="006C0343" w:rsidRDefault="006C0343" w:rsidP="005E0C40">
      <w:pPr>
        <w:spacing w:after="0" w:line="240" w:lineRule="auto"/>
        <w:ind w:left="-450" w:right="-900"/>
      </w:pPr>
      <w:r w:rsidRPr="006C0343">
        <w:t>All Products are subject to inspection at reasonable times and places before</w:t>
      </w:r>
      <w:r w:rsidRPr="001C7BF9">
        <w:t xml:space="preserve"> </w:t>
      </w:r>
      <w:r w:rsidRPr="006C0343">
        <w:t>Acceptance. Contractor shall provide right of access to the Lead State, or to any other</w:t>
      </w:r>
      <w:r w:rsidRPr="001C7BF9">
        <w:t xml:space="preserve"> </w:t>
      </w:r>
      <w:r w:rsidRPr="006C0343">
        <w:t>authorized agent or official of the Lead State or other Participating or Purchasing Entity,</w:t>
      </w:r>
      <w:r w:rsidRPr="001C7BF9">
        <w:t xml:space="preserve"> </w:t>
      </w:r>
      <w:r w:rsidRPr="006C0343">
        <w:t xml:space="preserve">at reasonable times, </w:t>
      </w:r>
      <w:proofErr w:type="gramStart"/>
      <w:r w:rsidRPr="006C0343">
        <w:t>in order to</w:t>
      </w:r>
      <w:proofErr w:type="gramEnd"/>
      <w:r w:rsidRPr="006C0343">
        <w:t xml:space="preserve"> monitor and evaluate performance, compliance, and/or</w:t>
      </w:r>
      <w:r w:rsidRPr="001C7BF9">
        <w:t xml:space="preserve"> </w:t>
      </w:r>
      <w:r w:rsidRPr="006C0343">
        <w:t>quality</w:t>
      </w:r>
      <w:r w:rsidRPr="001C7BF9">
        <w:t xml:space="preserve"> </w:t>
      </w:r>
      <w:r w:rsidRPr="006C0343">
        <w:t>assurance requirements under this Master Agreement. Products that do not</w:t>
      </w:r>
      <w:r w:rsidRPr="001C7BF9">
        <w:t xml:space="preserve"> </w:t>
      </w:r>
      <w:r w:rsidRPr="006C0343">
        <w:t>meet specifications may be rejected.</w:t>
      </w:r>
      <w:r w:rsidRPr="001C7BF9">
        <w:t xml:space="preserve"> </w:t>
      </w:r>
      <w:r w:rsidRPr="006C0343">
        <w:t>Failure to reject upon receipt, however, does not</w:t>
      </w:r>
      <w:r w:rsidRPr="001C7BF9">
        <w:t xml:space="preserve"> </w:t>
      </w:r>
      <w:r w:rsidRPr="006C0343">
        <w:t>relieve the contractor of liability for material (nonconformity that substantial impairs</w:t>
      </w:r>
      <w:r w:rsidRPr="001C7BF9">
        <w:t xml:space="preserve"> </w:t>
      </w:r>
      <w:r w:rsidRPr="006C0343">
        <w:t xml:space="preserve">value) latent or hidden defects subsequently revealed when goods are </w:t>
      </w:r>
      <w:proofErr w:type="gramStart"/>
      <w:r w:rsidRPr="006C0343">
        <w:t>put to use</w:t>
      </w:r>
      <w:proofErr w:type="gramEnd"/>
      <w:r w:rsidRPr="006C0343">
        <w:t>.</w:t>
      </w:r>
      <w:r w:rsidRPr="001C7BF9">
        <w:t xml:space="preserve"> </w:t>
      </w:r>
      <w:r w:rsidRPr="006C0343">
        <w:t>Acceptance of such goods may be revoked in accordance with the provisions of the</w:t>
      </w:r>
      <w:r w:rsidRPr="001C7BF9">
        <w:t xml:space="preserve"> </w:t>
      </w:r>
      <w:r w:rsidRPr="006C0343">
        <w:t>applicable commercial code, and the Contractor is</w:t>
      </w:r>
      <w:r w:rsidRPr="001C7BF9">
        <w:t xml:space="preserve"> </w:t>
      </w:r>
      <w:r w:rsidRPr="006C0343">
        <w:t>liable for any resulting expense</w:t>
      </w:r>
      <w:r w:rsidRPr="001C7BF9">
        <w:t xml:space="preserve"> </w:t>
      </w:r>
      <w:r w:rsidRPr="006C0343">
        <w:t>incurred by the Purchasing Entity related to the preparation and shipping of Product</w:t>
      </w:r>
      <w:r w:rsidRPr="001C7BF9">
        <w:t xml:space="preserve"> </w:t>
      </w:r>
      <w:r w:rsidRPr="006C0343">
        <w:t>rejected and returned, or for which Acceptance is revoked.</w:t>
      </w:r>
    </w:p>
    <w:p w14:paraId="3B54523F" w14:textId="77777777" w:rsidR="006C0343" w:rsidRPr="001C7BF9" w:rsidRDefault="006C0343" w:rsidP="005E0C40">
      <w:pPr>
        <w:spacing w:after="0" w:line="240" w:lineRule="auto"/>
        <w:ind w:left="-450" w:right="-900"/>
      </w:pPr>
    </w:p>
    <w:p w14:paraId="6B5371FE" w14:textId="77344013" w:rsidR="006C0343" w:rsidRPr="006C0343" w:rsidRDefault="006C0343" w:rsidP="005E0C40">
      <w:pPr>
        <w:spacing w:after="0" w:line="240" w:lineRule="auto"/>
        <w:ind w:left="-450" w:right="-900"/>
      </w:pPr>
      <w:r w:rsidRPr="006C0343">
        <w:t>If any services do not conform to contract requirements, the Purchasing Entity may</w:t>
      </w:r>
      <w:r w:rsidRPr="001C7BF9">
        <w:t xml:space="preserve"> </w:t>
      </w:r>
      <w:r w:rsidRPr="006C0343">
        <w:t>require the Contractor to perform the services again in conformity with contract</w:t>
      </w:r>
      <w:r w:rsidRPr="001C7BF9">
        <w:t xml:space="preserve"> </w:t>
      </w:r>
      <w:r w:rsidRPr="006C0343">
        <w:t>requirements, at no increase in Order amount. When defects cannot be corrected by</w:t>
      </w:r>
      <w:r w:rsidRPr="001C7BF9">
        <w:t xml:space="preserve"> </w:t>
      </w:r>
      <w:r w:rsidRPr="006C0343">
        <w:t>re-performance, the Purchasing Entity may require the Contractor to take necessary</w:t>
      </w:r>
      <w:r w:rsidRPr="001C7BF9">
        <w:t xml:space="preserve"> </w:t>
      </w:r>
      <w:r w:rsidRPr="006C0343">
        <w:t xml:space="preserve">action to ensure that </w:t>
      </w:r>
      <w:r w:rsidRPr="006C0343">
        <w:lastRenderedPageBreak/>
        <w:t>future performance conforms to contract requirements; and reduce</w:t>
      </w:r>
      <w:r w:rsidRPr="001C7BF9">
        <w:t xml:space="preserve"> </w:t>
      </w:r>
      <w:r w:rsidRPr="006C0343">
        <w:t>the contract price to reflect the reduced value of services performed.</w:t>
      </w:r>
    </w:p>
    <w:p w14:paraId="22E88C08" w14:textId="77777777" w:rsidR="006C0343" w:rsidRPr="001C7BF9" w:rsidRDefault="006C0343" w:rsidP="005E0C40">
      <w:pPr>
        <w:spacing w:after="0" w:line="240" w:lineRule="auto"/>
        <w:ind w:left="-450" w:right="-900"/>
      </w:pPr>
    </w:p>
    <w:p w14:paraId="106DFF87" w14:textId="381C5531" w:rsidR="006C0343" w:rsidRPr="001C7BF9" w:rsidRDefault="006C0343" w:rsidP="005E0C40">
      <w:pPr>
        <w:spacing w:after="0" w:line="240" w:lineRule="auto"/>
        <w:ind w:left="-450" w:right="-900"/>
      </w:pPr>
      <w:r w:rsidRPr="001C7BF9">
        <w:t>The warranty period shall begin upon Acceptance.</w:t>
      </w:r>
    </w:p>
    <w:p w14:paraId="3C906AA8" w14:textId="77777777" w:rsidR="006C0343" w:rsidRPr="001C7BF9" w:rsidRDefault="006C0343" w:rsidP="005E0C40">
      <w:pPr>
        <w:spacing w:after="0" w:line="240" w:lineRule="auto"/>
        <w:ind w:right="-900"/>
      </w:pPr>
    </w:p>
    <w:p w14:paraId="7C2A9B28" w14:textId="1452121B" w:rsidR="006C0343" w:rsidRPr="001C7BF9" w:rsidRDefault="00BE3D0C" w:rsidP="005E0C40">
      <w:pPr>
        <w:spacing w:after="0" w:line="240" w:lineRule="auto"/>
        <w:ind w:left="-450" w:right="-900"/>
        <w:rPr>
          <w:rFonts w:cstheme="minorHAnsi"/>
          <w:b/>
          <w:bCs/>
          <w:color w:val="000000"/>
        </w:rPr>
      </w:pPr>
      <w:r w:rsidRPr="001C7BF9">
        <w:rPr>
          <w:rFonts w:cstheme="minorHAnsi"/>
          <w:b/>
          <w:bCs/>
          <w:color w:val="000000"/>
        </w:rPr>
        <w:t>Payment</w:t>
      </w:r>
    </w:p>
    <w:p w14:paraId="65DA9924" w14:textId="7C133E59" w:rsidR="00805773" w:rsidRPr="001C7BF9" w:rsidRDefault="006C0343" w:rsidP="005E0C40">
      <w:pPr>
        <w:spacing w:after="0" w:line="240" w:lineRule="auto"/>
        <w:ind w:left="-450" w:right="-900"/>
        <w:rPr>
          <w:rFonts w:cstheme="minorHAnsi"/>
        </w:rPr>
      </w:pPr>
      <w:r w:rsidRPr="006C0343">
        <w:rPr>
          <w:rFonts w:cstheme="minorHAnsi"/>
          <w:color w:val="000000"/>
        </w:rPr>
        <w:t>Payment after Acceptance is normally made within 30 days following the date the entire</w:t>
      </w:r>
      <w:r w:rsidRPr="001C7BF9">
        <w:rPr>
          <w:rFonts w:cstheme="minorHAnsi"/>
        </w:rPr>
        <w:t xml:space="preserve"> </w:t>
      </w:r>
      <w:r w:rsidRPr="006C0343">
        <w:rPr>
          <w:rFonts w:cstheme="minorHAnsi"/>
          <w:color w:val="000000"/>
        </w:rPr>
        <w:t>order is delivered or the date a correct invoice is received, whichever is later. After 45</w:t>
      </w:r>
      <w:r w:rsidRPr="001C7BF9">
        <w:rPr>
          <w:rFonts w:cstheme="minorHAnsi"/>
        </w:rPr>
        <w:t xml:space="preserve"> </w:t>
      </w:r>
      <w:r w:rsidRPr="006C0343">
        <w:rPr>
          <w:rFonts w:cstheme="minorHAnsi"/>
          <w:color w:val="000000"/>
        </w:rPr>
        <w:t>days the Contractor may assess overdue account charges up to a maximum rate of one</w:t>
      </w:r>
      <w:r w:rsidRPr="001C7BF9">
        <w:rPr>
          <w:rFonts w:cstheme="minorHAnsi"/>
        </w:rPr>
        <w:t xml:space="preserve"> </w:t>
      </w:r>
      <w:r w:rsidRPr="006C0343">
        <w:rPr>
          <w:rFonts w:cstheme="minorHAnsi"/>
          <w:color w:val="000000"/>
        </w:rPr>
        <w:t>percent per month on the outstanding balance, unless a different late payment amount</w:t>
      </w:r>
      <w:r w:rsidRPr="001C7BF9">
        <w:rPr>
          <w:rFonts w:cstheme="minorHAnsi"/>
        </w:rPr>
        <w:t xml:space="preserve"> </w:t>
      </w:r>
      <w:r w:rsidRPr="006C0343">
        <w:rPr>
          <w:rFonts w:cstheme="minorHAnsi"/>
          <w:color w:val="000000"/>
        </w:rPr>
        <w:t>is specified in a Participating Addendum, Order, or otherwise prescribed by applicable</w:t>
      </w:r>
      <w:r w:rsidRPr="001C7BF9">
        <w:rPr>
          <w:rFonts w:cstheme="minorHAnsi"/>
        </w:rPr>
        <w:t xml:space="preserve"> </w:t>
      </w:r>
      <w:r w:rsidRPr="001C7BF9">
        <w:rPr>
          <w:rFonts w:cstheme="minorHAnsi"/>
          <w:color w:val="000000"/>
        </w:rPr>
        <w:t>l</w:t>
      </w:r>
      <w:r w:rsidRPr="006C0343">
        <w:rPr>
          <w:rFonts w:cstheme="minorHAnsi"/>
          <w:color w:val="000000"/>
        </w:rPr>
        <w:t>aw. Payments will be remitted by mail. Payments may be made via a State or political</w:t>
      </w:r>
      <w:r w:rsidRPr="001C7BF9">
        <w:rPr>
          <w:rFonts w:cstheme="minorHAnsi"/>
        </w:rPr>
        <w:t xml:space="preserve"> </w:t>
      </w:r>
      <w:r w:rsidRPr="001C7BF9">
        <w:rPr>
          <w:rFonts w:cstheme="minorHAnsi"/>
          <w:color w:val="000000"/>
        </w:rPr>
        <w:t>subdivision “Purchasing Card” with no additional charge.</w:t>
      </w:r>
    </w:p>
    <w:p w14:paraId="59EDD3BC" w14:textId="77777777" w:rsidR="006C0343" w:rsidRPr="001C7BF9" w:rsidRDefault="006C0343" w:rsidP="005E0C40">
      <w:pPr>
        <w:spacing w:after="0" w:line="240" w:lineRule="auto"/>
        <w:ind w:left="-450" w:right="-900"/>
        <w:rPr>
          <w:rFonts w:cstheme="minorHAnsi"/>
        </w:rPr>
      </w:pPr>
    </w:p>
    <w:p w14:paraId="21A07DDA" w14:textId="77777777" w:rsidR="00805773" w:rsidRPr="00805773" w:rsidRDefault="00805773" w:rsidP="005E0C40">
      <w:pPr>
        <w:spacing w:after="0" w:line="240" w:lineRule="auto"/>
        <w:ind w:left="-450" w:right="-900"/>
        <w:rPr>
          <w:b/>
          <w:bCs/>
        </w:rPr>
      </w:pPr>
      <w:r w:rsidRPr="00805773">
        <w:rPr>
          <w:b/>
          <w:bCs/>
        </w:rPr>
        <w:t>Shipping and Delivery</w:t>
      </w:r>
    </w:p>
    <w:p w14:paraId="7280BE83" w14:textId="33D58A47" w:rsidR="00805773" w:rsidRPr="001C7BF9" w:rsidRDefault="00805773" w:rsidP="005E0C40">
      <w:pPr>
        <w:spacing w:after="0" w:line="240" w:lineRule="auto"/>
        <w:ind w:left="-450" w:right="-900"/>
      </w:pPr>
      <w:r w:rsidRPr="00805773">
        <w:t>The prices are the delivered price to any Purchasing Entity. All deliveries shall be</w:t>
      </w:r>
      <w:r w:rsidR="006C0343" w:rsidRPr="001C7BF9">
        <w:t xml:space="preserve"> </w:t>
      </w:r>
      <w:r w:rsidRPr="00805773">
        <w:t>F.O.B. destination, freight pre-paid, with all transportation and handling charges paid by</w:t>
      </w:r>
      <w:r w:rsidR="006C0343" w:rsidRPr="001C7BF9">
        <w:t xml:space="preserve"> </w:t>
      </w:r>
      <w:r w:rsidRPr="00805773">
        <w:t>the Contractor. Responsibility and liability for loss or damage shall remain the</w:t>
      </w:r>
      <w:r w:rsidR="006C0343" w:rsidRPr="001C7BF9">
        <w:t xml:space="preserve"> </w:t>
      </w:r>
      <w:r w:rsidRPr="00805773">
        <w:t>Contractor’s until final inspection and acceptance when responsibility shall pass to the</w:t>
      </w:r>
      <w:r w:rsidR="006C0343" w:rsidRPr="001C7BF9">
        <w:t xml:space="preserve"> </w:t>
      </w:r>
      <w:r w:rsidRPr="00805773">
        <w:t xml:space="preserve">Purchasing Entity except as to latent defects, </w:t>
      </w:r>
      <w:proofErr w:type="gramStart"/>
      <w:r w:rsidRPr="00805773">
        <w:t>fraud</w:t>
      </w:r>
      <w:proofErr w:type="gramEnd"/>
      <w:r w:rsidRPr="00805773">
        <w:t xml:space="preserve"> and Contractor’s warranty</w:t>
      </w:r>
      <w:r w:rsidR="006C0343" w:rsidRPr="001C7BF9">
        <w:t xml:space="preserve"> </w:t>
      </w:r>
      <w:r w:rsidRPr="00805773">
        <w:t>obligations. The minimum shipment amount, if any, will be found in the special terms</w:t>
      </w:r>
      <w:r w:rsidR="006C0343" w:rsidRPr="001C7BF9">
        <w:t xml:space="preserve"> </w:t>
      </w:r>
      <w:r w:rsidRPr="00805773">
        <w:t>and conditions. Any order for less than the specified amount is to be shipped with the</w:t>
      </w:r>
      <w:r w:rsidR="006C0343" w:rsidRPr="001C7BF9">
        <w:t xml:space="preserve"> </w:t>
      </w:r>
      <w:r w:rsidRPr="00805773">
        <w:t>freight prepaid and added as a separate item on the invoice. Any portion of an Order to</w:t>
      </w:r>
      <w:r w:rsidR="006C0343" w:rsidRPr="001C7BF9">
        <w:t xml:space="preserve"> </w:t>
      </w:r>
      <w:r w:rsidRPr="00805773">
        <w:t>be shipped without transportation</w:t>
      </w:r>
      <w:r w:rsidR="006C0343" w:rsidRPr="001C7BF9">
        <w:t xml:space="preserve"> </w:t>
      </w:r>
      <w:r w:rsidRPr="00805773">
        <w:t>charges that is back ordered shall be shipped without</w:t>
      </w:r>
      <w:r w:rsidR="006C0343" w:rsidRPr="001C7BF9">
        <w:t xml:space="preserve"> </w:t>
      </w:r>
      <w:r w:rsidRPr="00805773">
        <w:t>charge.</w:t>
      </w:r>
    </w:p>
    <w:p w14:paraId="60AC57E5" w14:textId="77777777" w:rsidR="006C0343" w:rsidRPr="00805773" w:rsidRDefault="006C0343" w:rsidP="005E0C40">
      <w:pPr>
        <w:spacing w:after="0" w:line="240" w:lineRule="auto"/>
        <w:ind w:left="-450" w:right="-900"/>
      </w:pPr>
    </w:p>
    <w:p w14:paraId="2380B520" w14:textId="69D48E1B" w:rsidR="00805773" w:rsidRPr="00805773" w:rsidRDefault="00805773" w:rsidP="005E0C40">
      <w:pPr>
        <w:spacing w:after="0" w:line="240" w:lineRule="auto"/>
        <w:ind w:left="-450" w:right="-900"/>
      </w:pPr>
      <w:r w:rsidRPr="00805773">
        <w:t>All deliveries will be “Inside Deliveries” as designated by a representative of the</w:t>
      </w:r>
      <w:r w:rsidR="006C0343" w:rsidRPr="001C7BF9">
        <w:t xml:space="preserve"> </w:t>
      </w:r>
      <w:r w:rsidRPr="00805773">
        <w:t>Purchasing Entity placing the Order. Inside Delivery refers to a delivery to other than a</w:t>
      </w:r>
      <w:r w:rsidR="006C0343" w:rsidRPr="001C7BF9">
        <w:t xml:space="preserve"> </w:t>
      </w:r>
      <w:r w:rsidRPr="00805773">
        <w:t>loading dock, front lobby, or reception area. Specific delivery instructions will be noted</w:t>
      </w:r>
      <w:r w:rsidR="006C0343" w:rsidRPr="001C7BF9">
        <w:t xml:space="preserve"> </w:t>
      </w:r>
      <w:r w:rsidRPr="00805773">
        <w:t xml:space="preserve">on the order form or Purchase Order. Any damage to the building interior, </w:t>
      </w:r>
      <w:proofErr w:type="gramStart"/>
      <w:r w:rsidRPr="00805773">
        <w:t>scratched</w:t>
      </w:r>
      <w:proofErr w:type="gramEnd"/>
    </w:p>
    <w:p w14:paraId="23E0C358" w14:textId="01662DF1" w:rsidR="00805773" w:rsidRPr="00805773" w:rsidRDefault="00805773" w:rsidP="005E0C40">
      <w:pPr>
        <w:spacing w:after="0" w:line="240" w:lineRule="auto"/>
        <w:ind w:left="-450" w:right="-900"/>
      </w:pPr>
      <w:r w:rsidRPr="00805773">
        <w:t>walls, damage to the freight elevator, etc., will be the responsibility of the Contractor. If</w:t>
      </w:r>
      <w:r w:rsidR="006C0343" w:rsidRPr="001C7BF9">
        <w:t xml:space="preserve"> </w:t>
      </w:r>
      <w:r w:rsidRPr="00805773">
        <w:t>damage does occur, it is the responsibility of the Contractor to immediately notify the</w:t>
      </w:r>
      <w:r w:rsidR="006C0343" w:rsidRPr="001C7BF9">
        <w:t xml:space="preserve"> </w:t>
      </w:r>
      <w:r w:rsidRPr="00805773">
        <w:t>Purchasing Entity placing the Order.</w:t>
      </w:r>
      <w:r w:rsidR="006C0343" w:rsidRPr="001C7BF9">
        <w:t xml:space="preserve"> </w:t>
      </w:r>
      <w:r w:rsidRPr="00805773">
        <w:t>All products must be</w:t>
      </w:r>
      <w:r w:rsidR="006C0343" w:rsidRPr="001C7BF9">
        <w:t xml:space="preserve"> </w:t>
      </w:r>
      <w:r w:rsidRPr="00805773">
        <w:t>delivered in the manufacturer’s standard package. Costs shall</w:t>
      </w:r>
      <w:r w:rsidR="006C0343" w:rsidRPr="001C7BF9">
        <w:t xml:space="preserve"> </w:t>
      </w:r>
      <w:r w:rsidRPr="00805773">
        <w:t>include all packing and/or crating charges. Cases shall be of durable construction, good</w:t>
      </w:r>
      <w:r w:rsidR="006C0343" w:rsidRPr="001C7BF9">
        <w:t xml:space="preserve"> </w:t>
      </w:r>
      <w:r w:rsidRPr="00805773">
        <w:t>condition, properly labeled and suitable in every respect for storage and handling of</w:t>
      </w:r>
    </w:p>
    <w:p w14:paraId="2BFCE91E" w14:textId="58AF0448" w:rsidR="00805773" w:rsidRPr="001C7BF9" w:rsidRDefault="00805773" w:rsidP="005E0C40">
      <w:pPr>
        <w:spacing w:after="0" w:line="240" w:lineRule="auto"/>
        <w:ind w:left="-450" w:right="-900"/>
      </w:pPr>
      <w:r w:rsidRPr="00805773">
        <w:t>contents. Each shipping carton shall be marked with the commodity, brand, quantity,</w:t>
      </w:r>
      <w:r w:rsidR="006C0343" w:rsidRPr="001C7BF9">
        <w:t xml:space="preserve"> </w:t>
      </w:r>
      <w:r w:rsidRPr="001C7BF9">
        <w:t>item code number and the Purchasing Entity’s Purchase Order number.</w:t>
      </w:r>
    </w:p>
    <w:p w14:paraId="4885B54F" w14:textId="4C8974AF" w:rsidR="006C0343" w:rsidRPr="001C7BF9" w:rsidRDefault="006C0343" w:rsidP="005E0C40">
      <w:pPr>
        <w:spacing w:after="0" w:line="240" w:lineRule="auto"/>
        <w:ind w:left="-450" w:right="-900"/>
      </w:pPr>
    </w:p>
    <w:p w14:paraId="36FB4677" w14:textId="77777777" w:rsidR="006C0343" w:rsidRPr="006C0343" w:rsidRDefault="006C0343" w:rsidP="005E0C40">
      <w:pPr>
        <w:spacing w:after="0" w:line="240" w:lineRule="auto"/>
        <w:ind w:left="-450" w:right="-900"/>
        <w:rPr>
          <w:b/>
          <w:bCs/>
        </w:rPr>
      </w:pPr>
      <w:r w:rsidRPr="006C0343">
        <w:rPr>
          <w:b/>
          <w:bCs/>
        </w:rPr>
        <w:t>Warranty</w:t>
      </w:r>
    </w:p>
    <w:p w14:paraId="4F32B6D9" w14:textId="4897229B" w:rsidR="006C0343" w:rsidRPr="006C0343" w:rsidRDefault="006C0343" w:rsidP="005E0C40">
      <w:pPr>
        <w:spacing w:after="0" w:line="240" w:lineRule="auto"/>
        <w:ind w:left="-450" w:right="-900"/>
      </w:pPr>
      <w:r w:rsidRPr="006C0343">
        <w:t>Warranty provisions govern where specified elsewhere in the documents that constitute</w:t>
      </w:r>
      <w:r w:rsidRPr="001C7BF9">
        <w:t xml:space="preserve"> </w:t>
      </w:r>
      <w:r w:rsidRPr="006C0343">
        <w:t xml:space="preserve">the Master Agreement; </w:t>
      </w:r>
      <w:proofErr w:type="gramStart"/>
      <w:r w:rsidRPr="006C0343">
        <w:t>otherwise</w:t>
      </w:r>
      <w:proofErr w:type="gramEnd"/>
      <w:r w:rsidRPr="006C0343">
        <w:t xml:space="preserve"> this section governs. The Contractor warrants for a</w:t>
      </w:r>
      <w:r w:rsidRPr="001C7BF9">
        <w:t xml:space="preserve"> </w:t>
      </w:r>
      <w:r w:rsidRPr="006C0343">
        <w:t>period of one year from the date of Acceptance that: (a) the Product performs according</w:t>
      </w:r>
      <w:r w:rsidRPr="001C7BF9">
        <w:t xml:space="preserve"> </w:t>
      </w:r>
      <w:r w:rsidRPr="006C0343">
        <w:t>to all specific claims that the Contractor made in its response to the solicitation, (b) the</w:t>
      </w:r>
    </w:p>
    <w:p w14:paraId="2D0478AE" w14:textId="2774203F" w:rsidR="006C0343" w:rsidRPr="001C7BF9" w:rsidRDefault="006C0343" w:rsidP="005E0C40">
      <w:pPr>
        <w:spacing w:after="0" w:line="240" w:lineRule="auto"/>
        <w:ind w:left="-450" w:right="-900"/>
      </w:pPr>
      <w:r w:rsidRPr="006C0343">
        <w:t>Product is suitable for the ordinary purposes for which such Product is used as</w:t>
      </w:r>
      <w:r w:rsidRPr="001C7BF9">
        <w:t xml:space="preserve"> </w:t>
      </w:r>
      <w:r w:rsidRPr="006C0343">
        <w:t>described in Contractor’s response to the solicitation, (c) the Product is suitable for any</w:t>
      </w:r>
      <w:r w:rsidRPr="001C7BF9">
        <w:t xml:space="preserve"> </w:t>
      </w:r>
      <w:r w:rsidRPr="006C0343">
        <w:t xml:space="preserve">special purposes identified in the </w:t>
      </w:r>
      <w:proofErr w:type="gramStart"/>
      <w:r w:rsidRPr="006C0343">
        <w:t>solicitation ,</w:t>
      </w:r>
      <w:proofErr w:type="gramEnd"/>
      <w:r w:rsidRPr="006C0343">
        <w:t xml:space="preserve"> (d) the Product is designed and</w:t>
      </w:r>
      <w:r w:rsidRPr="001C7BF9">
        <w:t xml:space="preserve"> </w:t>
      </w:r>
      <w:r w:rsidRPr="006C0343">
        <w:t>manufactured in a commercially reasonable manner, and (e) the Product is free of</w:t>
      </w:r>
      <w:r w:rsidRPr="001C7BF9">
        <w:t xml:space="preserve"> material defects. Upon breach of the warranty, the Contractor will repair or replace (at no charge to the Purchasing Entity) the Product whose nonconformance is discovered and made known to the Contractor. If the repaired and/or replaced Product proves to</w:t>
      </w:r>
    </w:p>
    <w:p w14:paraId="504E475F" w14:textId="55A7230D" w:rsidR="006C0343" w:rsidRPr="001C7BF9" w:rsidRDefault="006C0343" w:rsidP="005E0C40">
      <w:pPr>
        <w:spacing w:after="0" w:line="240" w:lineRule="auto"/>
        <w:ind w:left="-450" w:right="-900"/>
      </w:pPr>
      <w:r w:rsidRPr="001C7BF9">
        <w:t xml:space="preserve">be inadequate, or fails of its essential purpose, the Contractor will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1C7BF9">
        <w:t>fees</w:t>
      </w:r>
      <w:proofErr w:type="gramEnd"/>
      <w:r w:rsidRPr="001C7BF9">
        <w:t xml:space="preserve"> and costs.</w:t>
      </w:r>
    </w:p>
    <w:p w14:paraId="7112B2C5" w14:textId="77777777" w:rsidR="00805773" w:rsidRPr="001C7BF9" w:rsidRDefault="00805773" w:rsidP="005E0C40">
      <w:pPr>
        <w:autoSpaceDE w:val="0"/>
        <w:autoSpaceDN w:val="0"/>
        <w:adjustRightInd w:val="0"/>
        <w:spacing w:after="0" w:line="240" w:lineRule="auto"/>
        <w:rPr>
          <w:rFonts w:cs="Calibri"/>
          <w:color w:val="000000"/>
        </w:rPr>
      </w:pPr>
    </w:p>
    <w:p w14:paraId="56ED2BB7" w14:textId="77777777" w:rsidR="006E1650" w:rsidRPr="006E1650" w:rsidRDefault="006E1650" w:rsidP="005E0C40">
      <w:pPr>
        <w:spacing w:after="0" w:line="240" w:lineRule="auto"/>
        <w:ind w:left="-450" w:right="-900"/>
        <w:rPr>
          <w:b/>
          <w:bCs/>
        </w:rPr>
      </w:pPr>
      <w:r w:rsidRPr="006E1650">
        <w:rPr>
          <w:b/>
          <w:bCs/>
        </w:rPr>
        <w:t>Title of Product</w:t>
      </w:r>
    </w:p>
    <w:p w14:paraId="0281B6E3" w14:textId="7E04F403" w:rsidR="006E1650" w:rsidRPr="006E1650" w:rsidRDefault="006E1650" w:rsidP="005E0C40">
      <w:pPr>
        <w:spacing w:after="0" w:line="240" w:lineRule="auto"/>
        <w:ind w:left="-450" w:right="-900"/>
      </w:pPr>
      <w:r w:rsidRPr="006E1650">
        <w:lastRenderedPageBreak/>
        <w:t>Upon Acceptance by the Purchasing Entity, Contractor shall convey to Purchasing</w:t>
      </w:r>
      <w:r w:rsidR="000B52C1" w:rsidRPr="001C7BF9">
        <w:t xml:space="preserve"> </w:t>
      </w:r>
      <w:r w:rsidRPr="006E1650">
        <w:t>Entity title to the Product, except for any portion of the Product which is provided subject</w:t>
      </w:r>
      <w:r w:rsidR="000B52C1" w:rsidRPr="001C7BF9">
        <w:t xml:space="preserve"> </w:t>
      </w:r>
      <w:r w:rsidRPr="006E1650">
        <w:t>to a nonexclusive subscription license or is Embedded Software, free and clear of all</w:t>
      </w:r>
      <w:r w:rsidR="000B52C1" w:rsidRPr="001C7BF9">
        <w:t xml:space="preserve"> </w:t>
      </w:r>
      <w:r w:rsidRPr="006E1650">
        <w:t>liens, encumbrances, or other security interests. Subject to the foregoing exclusion,</w:t>
      </w:r>
    </w:p>
    <w:p w14:paraId="135C3DFA" w14:textId="3CBCA4C6" w:rsidR="006E1650" w:rsidRPr="006E1650" w:rsidRDefault="006E1650" w:rsidP="005E0C40">
      <w:pPr>
        <w:spacing w:after="0" w:line="240" w:lineRule="auto"/>
        <w:ind w:left="-450" w:right="-900"/>
      </w:pPr>
      <w:r w:rsidRPr="006E1650">
        <w:t>transfer of title to the Product shall include an irrevocable and perpetual license to use</w:t>
      </w:r>
      <w:r w:rsidR="000B52C1" w:rsidRPr="001C7BF9">
        <w:t xml:space="preserve"> </w:t>
      </w:r>
      <w:r w:rsidRPr="006E1650">
        <w:t>any Embedded Software in the Product. If Purchasing Entity subsequently transfers title</w:t>
      </w:r>
      <w:r w:rsidR="000B52C1" w:rsidRPr="001C7BF9">
        <w:t xml:space="preserve"> </w:t>
      </w:r>
      <w:r w:rsidRPr="006E1650">
        <w:t>of the Product to another entity, Purchasing Entity shall have the right to transfer the</w:t>
      </w:r>
      <w:r w:rsidR="000B52C1" w:rsidRPr="001C7BF9">
        <w:t xml:space="preserve"> </w:t>
      </w:r>
      <w:r w:rsidRPr="006E1650">
        <w:t xml:space="preserve">license to use the Embedded Software with the transfer of Product title. </w:t>
      </w:r>
      <w:proofErr w:type="gramStart"/>
      <w:r w:rsidRPr="006E1650">
        <w:t>A subsequent</w:t>
      </w:r>
      <w:proofErr w:type="gramEnd"/>
    </w:p>
    <w:p w14:paraId="6655BCF8" w14:textId="588D70A8" w:rsidR="006338FF" w:rsidRPr="001C7BF9" w:rsidRDefault="006E1650" w:rsidP="005E0C40">
      <w:pPr>
        <w:spacing w:after="0" w:line="240" w:lineRule="auto"/>
        <w:ind w:left="-450" w:right="-900"/>
      </w:pPr>
      <w:r w:rsidRPr="006E1650">
        <w:t>transfer of this software license to the Embedded Software shall be at no additional cost</w:t>
      </w:r>
      <w:r w:rsidR="000B52C1" w:rsidRPr="001C7BF9">
        <w:t xml:space="preserve"> </w:t>
      </w:r>
      <w:r w:rsidRPr="006E1650">
        <w:t>or charge to either Purchasing Entity or Purchasing Entity’s transferee. Any Services or</w:t>
      </w:r>
      <w:r w:rsidR="000B52C1" w:rsidRPr="001C7BF9">
        <w:t xml:space="preserve"> </w:t>
      </w:r>
      <w:r w:rsidRPr="006E1650">
        <w:t>any portion of the Product which is provided subject to a nonexclusive subscription</w:t>
      </w:r>
      <w:r w:rsidR="000B52C1" w:rsidRPr="001C7BF9">
        <w:t xml:space="preserve"> </w:t>
      </w:r>
      <w:r w:rsidRPr="001C7BF9">
        <w:t>license provided under this Agreement shall not transfer to another entity.</w:t>
      </w:r>
    </w:p>
    <w:p w14:paraId="5434BB1D" w14:textId="2316351A" w:rsidR="006338FF" w:rsidRPr="001C7BF9" w:rsidRDefault="006338FF" w:rsidP="005E0C40">
      <w:pPr>
        <w:spacing w:after="0" w:line="240" w:lineRule="auto"/>
        <w:ind w:left="-450" w:right="-900"/>
      </w:pPr>
    </w:p>
    <w:p w14:paraId="67F5400D" w14:textId="77777777" w:rsidR="006E1650" w:rsidRPr="006E1650" w:rsidRDefault="006E1650" w:rsidP="005E0C40">
      <w:pPr>
        <w:spacing w:after="0" w:line="240" w:lineRule="auto"/>
        <w:ind w:left="-450" w:right="-900"/>
        <w:rPr>
          <w:b/>
          <w:bCs/>
        </w:rPr>
      </w:pPr>
      <w:r w:rsidRPr="006E1650">
        <w:rPr>
          <w:b/>
          <w:bCs/>
        </w:rPr>
        <w:t>License of Pre-Existing Intellectual Property</w:t>
      </w:r>
    </w:p>
    <w:p w14:paraId="11A44509" w14:textId="3E4C04FD" w:rsidR="006E1650" w:rsidRPr="006E1650" w:rsidRDefault="006E1650" w:rsidP="005E0C40">
      <w:pPr>
        <w:spacing w:after="0" w:line="240" w:lineRule="auto"/>
        <w:ind w:left="-450" w:right="-900"/>
      </w:pPr>
      <w:r w:rsidRPr="006E1650">
        <w:t xml:space="preserve">Except with respect to any portion of the </w:t>
      </w:r>
      <w:proofErr w:type="gramStart"/>
      <w:r w:rsidRPr="006E1650">
        <w:t>Product</w:t>
      </w:r>
      <w:proofErr w:type="gramEnd"/>
      <w:r w:rsidRPr="006E1650">
        <w:t xml:space="preserve"> which is provided subject to a</w:t>
      </w:r>
      <w:r w:rsidR="000B52C1" w:rsidRPr="001C7BF9">
        <w:t xml:space="preserve"> </w:t>
      </w:r>
      <w:r w:rsidRPr="006E1650">
        <w:t>nonexclusive subscription license, Contractor grants to the Purchasing Entity a</w:t>
      </w:r>
      <w:r w:rsidR="000B52C1" w:rsidRPr="001C7BF9">
        <w:t xml:space="preserve"> </w:t>
      </w:r>
      <w:r w:rsidRPr="006E1650">
        <w:t>nonexclusive, perpetual, royalty-free, irrevocable, license to use for Purchasing Entity’s</w:t>
      </w:r>
      <w:r w:rsidR="000B52C1" w:rsidRPr="001C7BF9">
        <w:t xml:space="preserve"> </w:t>
      </w:r>
      <w:r w:rsidRPr="006E1650">
        <w:t>own use, transfer with any sale of tangible media or Product, perform, display, and</w:t>
      </w:r>
    </w:p>
    <w:p w14:paraId="25FFF3FF" w14:textId="4EBEC66B" w:rsidR="006E1650" w:rsidRPr="001C7BF9" w:rsidRDefault="006E1650" w:rsidP="005E0C40">
      <w:pPr>
        <w:spacing w:after="0" w:line="240" w:lineRule="auto"/>
        <w:ind w:left="-450" w:right="-900"/>
      </w:pPr>
      <w:r w:rsidRPr="006E1650">
        <w:t>dispose of the Intellectual Property, and its derivatives, used or delivered under this</w:t>
      </w:r>
      <w:r w:rsidR="000B52C1" w:rsidRPr="001C7BF9">
        <w:t xml:space="preserve"> </w:t>
      </w:r>
      <w:r w:rsidRPr="006E1650">
        <w:t>Master Agreement, but not created under it (“Pre-existing Intellectual Property”). The</w:t>
      </w:r>
      <w:r w:rsidR="000B52C1" w:rsidRPr="001C7BF9">
        <w:t xml:space="preserve"> </w:t>
      </w:r>
      <w:r w:rsidRPr="006E1650">
        <w:t xml:space="preserve">Contractor shall be responsible for ensuring that this license is consistent with any </w:t>
      </w:r>
      <w:proofErr w:type="gramStart"/>
      <w:r w:rsidRPr="006E1650">
        <w:t>third</w:t>
      </w:r>
      <w:r w:rsidR="000B52C1" w:rsidRPr="001C7BF9">
        <w:t xml:space="preserve"> </w:t>
      </w:r>
      <w:r w:rsidRPr="001C7BF9">
        <w:t>party</w:t>
      </w:r>
      <w:proofErr w:type="gramEnd"/>
      <w:r w:rsidRPr="001C7BF9">
        <w:t xml:space="preserve"> rights in the Pre-existing Intellectual Property.</w:t>
      </w:r>
    </w:p>
    <w:p w14:paraId="6B82A486" w14:textId="0DEE916F" w:rsidR="006E1650" w:rsidRPr="001C7BF9" w:rsidRDefault="006E1650" w:rsidP="005E0C40">
      <w:pPr>
        <w:spacing w:after="0" w:line="240" w:lineRule="auto"/>
        <w:ind w:left="-450" w:right="-900"/>
      </w:pPr>
    </w:p>
    <w:p w14:paraId="1DAB7020" w14:textId="77777777" w:rsidR="006E1650" w:rsidRPr="006E1650" w:rsidRDefault="006E1650" w:rsidP="005E0C40">
      <w:pPr>
        <w:spacing w:after="0" w:line="240" w:lineRule="auto"/>
        <w:ind w:left="-450" w:right="-900"/>
        <w:rPr>
          <w:b/>
          <w:bCs/>
        </w:rPr>
      </w:pPr>
      <w:r w:rsidRPr="006E1650">
        <w:rPr>
          <w:b/>
          <w:bCs/>
        </w:rPr>
        <w:t>Subscription License</w:t>
      </w:r>
    </w:p>
    <w:p w14:paraId="0591FB5E" w14:textId="666FC5E2" w:rsidR="006E1650" w:rsidRPr="001C7BF9" w:rsidRDefault="006E1650" w:rsidP="005E0C40">
      <w:pPr>
        <w:spacing w:after="0" w:line="240" w:lineRule="auto"/>
        <w:ind w:left="-450" w:right="-900"/>
      </w:pPr>
      <w:r w:rsidRPr="006E1650">
        <w:t xml:space="preserve">For that portion of the </w:t>
      </w:r>
      <w:proofErr w:type="gramStart"/>
      <w:r w:rsidRPr="006E1650">
        <w:t>Product</w:t>
      </w:r>
      <w:proofErr w:type="gramEnd"/>
      <w:r w:rsidRPr="006E1650">
        <w:t xml:space="preserve"> which is provided subject to a nonexclusive subscription</w:t>
      </w:r>
      <w:r w:rsidR="000B52C1" w:rsidRPr="001C7BF9">
        <w:t xml:space="preserve"> </w:t>
      </w:r>
      <w:r w:rsidRPr="006E1650">
        <w:t>license, Contractor shall grant to the Purchasing Entity such subscription license as</w:t>
      </w:r>
      <w:r w:rsidR="000B52C1" w:rsidRPr="001C7BF9">
        <w:t xml:space="preserve"> </w:t>
      </w:r>
      <w:r w:rsidRPr="006E1650">
        <w:t>agreed upon by the Contractor and Purchasing Entity as set forth in Attachment D.</w:t>
      </w:r>
    </w:p>
    <w:p w14:paraId="69076BEE" w14:textId="77777777" w:rsidR="000B52C1" w:rsidRPr="006E1650" w:rsidRDefault="000B52C1" w:rsidP="005E0C40">
      <w:pPr>
        <w:spacing w:after="0" w:line="240" w:lineRule="auto"/>
        <w:ind w:left="-450" w:right="-900"/>
      </w:pPr>
    </w:p>
    <w:p w14:paraId="70F77D85" w14:textId="616D4693" w:rsidR="000B52C1" w:rsidRPr="001C7BF9" w:rsidRDefault="006E1650" w:rsidP="005E0C40">
      <w:pPr>
        <w:spacing w:after="0" w:line="240" w:lineRule="auto"/>
        <w:ind w:left="-450" w:right="-900"/>
        <w:rPr>
          <w:b/>
          <w:bCs/>
        </w:rPr>
      </w:pPr>
      <w:r w:rsidRPr="006E1650">
        <w:rPr>
          <w:b/>
          <w:bCs/>
        </w:rPr>
        <w:t>No Guarantee of Service Volumes</w:t>
      </w:r>
    </w:p>
    <w:p w14:paraId="4E1F26B5" w14:textId="0654B5B5" w:rsidR="006E1650" w:rsidRPr="006E1650" w:rsidRDefault="006E1650" w:rsidP="005E0C40">
      <w:pPr>
        <w:spacing w:after="0" w:line="240" w:lineRule="auto"/>
        <w:ind w:left="-450" w:right="-900"/>
      </w:pPr>
      <w:r w:rsidRPr="006E1650">
        <w:t xml:space="preserve">The Contractor acknowledges and agrees </w:t>
      </w:r>
      <w:proofErr w:type="spellStart"/>
      <w:r w:rsidRPr="006E1650">
        <w:t>thatthe</w:t>
      </w:r>
      <w:proofErr w:type="spellEnd"/>
      <w:r w:rsidRPr="006E1650">
        <w:t xml:space="preserve"> Lead State and NASPO ValuePoint makes no representation, </w:t>
      </w:r>
      <w:proofErr w:type="gramStart"/>
      <w:r w:rsidRPr="006E1650">
        <w:t>warranty</w:t>
      </w:r>
      <w:proofErr w:type="gramEnd"/>
      <w:r w:rsidRPr="006E1650">
        <w:t xml:space="preserve"> or condition</w:t>
      </w:r>
      <w:r w:rsidR="000B52C1" w:rsidRPr="001C7BF9">
        <w:t xml:space="preserve"> </w:t>
      </w:r>
      <w:r w:rsidRPr="006E1650">
        <w:t>as to the nature, timing, quality, quantity or volume of business for the Services or any</w:t>
      </w:r>
      <w:r w:rsidR="000B52C1" w:rsidRPr="001C7BF9">
        <w:t xml:space="preserve"> </w:t>
      </w:r>
      <w:r w:rsidRPr="006E1650">
        <w:t>other products and services that the Contractor may realize from this Master</w:t>
      </w:r>
      <w:r w:rsidR="000B52C1" w:rsidRPr="001C7BF9">
        <w:t xml:space="preserve"> </w:t>
      </w:r>
      <w:r w:rsidRPr="006E1650">
        <w:t>Agreement, or the compensation that may be earned by the Contractor by offering the</w:t>
      </w:r>
      <w:r w:rsidR="000B52C1" w:rsidRPr="001C7BF9">
        <w:t xml:space="preserve"> </w:t>
      </w:r>
      <w:r w:rsidRPr="006E1650">
        <w:t xml:space="preserve">Services. The Contractor acknowledges and agrees that it has conducted its own </w:t>
      </w:r>
      <w:proofErr w:type="gramStart"/>
      <w:r w:rsidRPr="006E1650">
        <w:t>due</w:t>
      </w:r>
      <w:proofErr w:type="gramEnd"/>
    </w:p>
    <w:p w14:paraId="144E0068" w14:textId="259C7D5A" w:rsidR="006E1650" w:rsidRPr="001C7BF9" w:rsidRDefault="006E1650" w:rsidP="005E0C40">
      <w:pPr>
        <w:spacing w:after="0" w:line="240" w:lineRule="auto"/>
        <w:ind w:left="-450" w:right="-900"/>
      </w:pPr>
      <w:r w:rsidRPr="001C7BF9">
        <w:t>diligence prior to entering into this Master Agreement as to all the foregoing matters.</w:t>
      </w:r>
    </w:p>
    <w:p w14:paraId="7F81B078" w14:textId="2D5BF670" w:rsidR="006E1650" w:rsidRPr="001C7BF9" w:rsidRDefault="006E1650" w:rsidP="005E0C40">
      <w:pPr>
        <w:spacing w:after="0" w:line="240" w:lineRule="auto"/>
        <w:ind w:left="-450" w:right="-900"/>
      </w:pPr>
    </w:p>
    <w:p w14:paraId="6E1F5752" w14:textId="084643FE" w:rsidR="000B52C1" w:rsidRPr="001C7BF9" w:rsidRDefault="006E1650" w:rsidP="005E0C40">
      <w:pPr>
        <w:spacing w:after="0" w:line="240" w:lineRule="auto"/>
        <w:ind w:left="-450" w:right="-900"/>
        <w:rPr>
          <w:b/>
          <w:bCs/>
        </w:rPr>
      </w:pPr>
      <w:r w:rsidRPr="006E1650">
        <w:rPr>
          <w:b/>
          <w:bCs/>
        </w:rPr>
        <w:t>Purchasing Entity Data</w:t>
      </w:r>
    </w:p>
    <w:p w14:paraId="44FE6442" w14:textId="1BCE2F8D" w:rsidR="006E1650" w:rsidRPr="006E1650" w:rsidRDefault="006E1650" w:rsidP="005E0C40">
      <w:pPr>
        <w:spacing w:after="0" w:line="240" w:lineRule="auto"/>
        <w:ind w:left="-450" w:right="-900"/>
      </w:pPr>
      <w:r w:rsidRPr="006E1650">
        <w:t>Purchasing Entity retains full right and title to Data and all</w:t>
      </w:r>
      <w:r w:rsidR="000B52C1" w:rsidRPr="001C7BF9">
        <w:t xml:space="preserve"> </w:t>
      </w:r>
      <w:r w:rsidRPr="006E1650">
        <w:t>Processed Data. Contractor shall not collect, access, or use user-specific Purchasing</w:t>
      </w:r>
      <w:r w:rsidR="000B52C1" w:rsidRPr="001C7BF9">
        <w:t xml:space="preserve"> </w:t>
      </w:r>
      <w:r w:rsidRPr="006E1650">
        <w:t>Entity Data and/or Processed Data specifically identifying a Purchasing Entity or</w:t>
      </w:r>
      <w:r w:rsidR="000B52C1" w:rsidRPr="001C7BF9">
        <w:t xml:space="preserve"> </w:t>
      </w:r>
      <w:r w:rsidRPr="006E1650">
        <w:t>individual users except as strictly necessary to provide Service to the Purchasing Entity.</w:t>
      </w:r>
      <w:r w:rsidR="000B52C1" w:rsidRPr="001C7BF9">
        <w:t xml:space="preserve"> </w:t>
      </w:r>
      <w:r w:rsidRPr="006E1650">
        <w:t>No information regarding Purchasing Entity’s use of the Service may be disclosed,</w:t>
      </w:r>
      <w:r w:rsidR="000B52C1" w:rsidRPr="001C7BF9">
        <w:t xml:space="preserve"> </w:t>
      </w:r>
      <w:r w:rsidRPr="006E1650">
        <w:t xml:space="preserve">provided, </w:t>
      </w:r>
      <w:proofErr w:type="gramStart"/>
      <w:r w:rsidRPr="006E1650">
        <w:t>rented</w:t>
      </w:r>
      <w:proofErr w:type="gramEnd"/>
      <w:r w:rsidRPr="006E1650">
        <w:t xml:space="preserve"> or sold to any third party for any reason unless required by law or</w:t>
      </w:r>
      <w:r w:rsidR="000B52C1" w:rsidRPr="001C7BF9">
        <w:t xml:space="preserve"> </w:t>
      </w:r>
      <w:r w:rsidRPr="006E1650">
        <w:t>regulation or by an order of a court of competent jurisdiction unless in an aggregated</w:t>
      </w:r>
      <w:r w:rsidR="000B52C1" w:rsidRPr="001C7BF9">
        <w:t xml:space="preserve"> </w:t>
      </w:r>
      <w:r w:rsidRPr="006E1650">
        <w:t>and anonymized format that does not identify the Purchasing Entity or individual users.</w:t>
      </w:r>
      <w:r w:rsidR="000B52C1" w:rsidRPr="001C7BF9">
        <w:t xml:space="preserve"> </w:t>
      </w:r>
      <w:r w:rsidRPr="006E1650">
        <w:t>The obligation shall extend beyond the term of this Master Agreement in perpetuity.</w:t>
      </w:r>
      <w:r w:rsidR="001C7BF9" w:rsidRPr="001C7BF9">
        <w:t xml:space="preserve"> </w:t>
      </w:r>
      <w:r w:rsidRPr="006E1650">
        <w:t>Except in an aggregated and anonymized format that does not identify the Purchasing</w:t>
      </w:r>
    </w:p>
    <w:p w14:paraId="4133E741" w14:textId="4F917F51" w:rsidR="006E1650" w:rsidRPr="001C7BF9" w:rsidRDefault="006E1650" w:rsidP="005E0C40">
      <w:pPr>
        <w:spacing w:after="0" w:line="240" w:lineRule="auto"/>
        <w:ind w:left="-450" w:right="-900"/>
      </w:pPr>
      <w:r w:rsidRPr="006E1650">
        <w:t>Entity or individual users, Contractor shall not use any information collected in</w:t>
      </w:r>
      <w:r w:rsidR="009D5855" w:rsidRPr="001C7BF9">
        <w:t xml:space="preserve"> </w:t>
      </w:r>
      <w:r w:rsidRPr="006E1650">
        <w:t>connection with this Master Agreement, including Purchasing Entity Data, for any</w:t>
      </w:r>
      <w:r w:rsidR="001C7BF9" w:rsidRPr="001C7BF9">
        <w:t xml:space="preserve"> </w:t>
      </w:r>
      <w:r w:rsidRPr="006E1650">
        <w:t>purpose other than fulfilling its obligations under this Master Agreement.</w:t>
      </w:r>
    </w:p>
    <w:p w14:paraId="63286775" w14:textId="77777777" w:rsidR="009D5855" w:rsidRPr="006E1650" w:rsidRDefault="009D5855" w:rsidP="005E0C40">
      <w:pPr>
        <w:spacing w:after="0" w:line="240" w:lineRule="auto"/>
        <w:ind w:left="-450" w:right="-900"/>
      </w:pPr>
    </w:p>
    <w:p w14:paraId="34FD97BC" w14:textId="77777777" w:rsidR="009D5855" w:rsidRPr="001C7BF9" w:rsidRDefault="006E1650" w:rsidP="005E0C40">
      <w:pPr>
        <w:spacing w:after="0" w:line="240" w:lineRule="auto"/>
        <w:ind w:left="-450" w:right="-900"/>
        <w:rPr>
          <w:b/>
          <w:bCs/>
        </w:rPr>
      </w:pPr>
      <w:r w:rsidRPr="006E1650">
        <w:rPr>
          <w:b/>
          <w:bCs/>
        </w:rPr>
        <w:t>System Failure or Damage</w:t>
      </w:r>
    </w:p>
    <w:p w14:paraId="3989D263" w14:textId="35CD2865" w:rsidR="006E1650" w:rsidRPr="001C7BF9" w:rsidRDefault="006E1650" w:rsidP="005E0C40">
      <w:pPr>
        <w:spacing w:after="0" w:line="240" w:lineRule="auto"/>
        <w:ind w:left="-450" w:right="-900"/>
      </w:pPr>
      <w:r w:rsidRPr="006E1650">
        <w:t>In the event of system failure or damage caused by</w:t>
      </w:r>
      <w:r w:rsidR="009D5855" w:rsidRPr="001C7BF9">
        <w:t xml:space="preserve"> </w:t>
      </w:r>
      <w:r w:rsidRPr="006E1650">
        <w:t>Contractor or its Services, the Contractor agrees to use its best efforts to restore or</w:t>
      </w:r>
      <w:r w:rsidR="009D5855" w:rsidRPr="001C7BF9">
        <w:t xml:space="preserve"> </w:t>
      </w:r>
      <w:r w:rsidRPr="006E1650">
        <w:t>assist in restoring the system to operational capacity.</w:t>
      </w:r>
    </w:p>
    <w:p w14:paraId="1A937B77" w14:textId="77777777" w:rsidR="009D5855" w:rsidRPr="006E1650" w:rsidRDefault="009D5855" w:rsidP="005E0C40">
      <w:pPr>
        <w:spacing w:after="0" w:line="240" w:lineRule="auto"/>
        <w:ind w:left="-450" w:right="-900"/>
      </w:pPr>
    </w:p>
    <w:p w14:paraId="24F8340B" w14:textId="21FB51B2" w:rsidR="009D5855" w:rsidRPr="001C7BF9" w:rsidRDefault="006E1650" w:rsidP="005E0C40">
      <w:pPr>
        <w:spacing w:after="0" w:line="240" w:lineRule="auto"/>
        <w:ind w:left="-450" w:right="-900"/>
        <w:rPr>
          <w:b/>
          <w:bCs/>
        </w:rPr>
      </w:pPr>
      <w:r w:rsidRPr="006E1650">
        <w:rPr>
          <w:b/>
          <w:bCs/>
        </w:rPr>
        <w:t>Title to Product</w:t>
      </w:r>
    </w:p>
    <w:p w14:paraId="65BFFF21" w14:textId="033F0D91" w:rsidR="006E1650" w:rsidRPr="001C7BF9" w:rsidRDefault="006E1650" w:rsidP="005E0C40">
      <w:pPr>
        <w:spacing w:after="0" w:line="240" w:lineRule="auto"/>
        <w:ind w:left="-450" w:right="-900"/>
      </w:pPr>
      <w:r w:rsidRPr="006E1650">
        <w:lastRenderedPageBreak/>
        <w:t xml:space="preserve">If access to the Product requires an </w:t>
      </w:r>
      <w:r w:rsidR="009D5855" w:rsidRPr="001C7BF9">
        <w:t>A</w:t>
      </w:r>
      <w:r w:rsidRPr="006E1650">
        <w:t xml:space="preserve">pplication </w:t>
      </w:r>
      <w:r w:rsidR="009D5855" w:rsidRPr="001C7BF9">
        <w:t>P</w:t>
      </w:r>
      <w:r w:rsidRPr="006E1650">
        <w:t xml:space="preserve">rogram </w:t>
      </w:r>
      <w:r w:rsidR="009D5855" w:rsidRPr="001C7BF9">
        <w:t>I</w:t>
      </w:r>
      <w:r w:rsidRPr="006E1650">
        <w:t>nterface</w:t>
      </w:r>
      <w:r w:rsidR="009D5855" w:rsidRPr="001C7BF9">
        <w:t xml:space="preserve"> </w:t>
      </w:r>
      <w:r w:rsidRPr="006E1650">
        <w:t>(API), other than any portion of the Product which is provided subject to a nonexclusive</w:t>
      </w:r>
      <w:r w:rsidR="009D5855" w:rsidRPr="001C7BF9">
        <w:t xml:space="preserve"> </w:t>
      </w:r>
      <w:r w:rsidRPr="006E1650">
        <w:t>subscription license, Contractor shall convey to Purchasing Entity an irrevocable and</w:t>
      </w:r>
      <w:r w:rsidR="009D5855" w:rsidRPr="001C7BF9">
        <w:t xml:space="preserve"> </w:t>
      </w:r>
      <w:r w:rsidRPr="006E1650">
        <w:t>perpetual license to use the API.</w:t>
      </w:r>
    </w:p>
    <w:p w14:paraId="2CAE3EE5" w14:textId="77777777" w:rsidR="009D5855" w:rsidRPr="006E1650" w:rsidRDefault="009D5855" w:rsidP="005E0C40">
      <w:pPr>
        <w:spacing w:after="0" w:line="240" w:lineRule="auto"/>
        <w:ind w:left="-450" w:right="-900"/>
      </w:pPr>
    </w:p>
    <w:p w14:paraId="5A84F5D8" w14:textId="77777777" w:rsidR="009D5855" w:rsidRPr="001C7BF9" w:rsidRDefault="006E1650" w:rsidP="005E0C40">
      <w:pPr>
        <w:spacing w:after="0" w:line="240" w:lineRule="auto"/>
        <w:ind w:left="-450" w:right="-900"/>
        <w:rPr>
          <w:b/>
          <w:bCs/>
        </w:rPr>
      </w:pPr>
      <w:r w:rsidRPr="006E1650">
        <w:rPr>
          <w:b/>
          <w:bCs/>
        </w:rPr>
        <w:t>Data Privacy</w:t>
      </w:r>
    </w:p>
    <w:p w14:paraId="552F66BD" w14:textId="3724A947" w:rsidR="006E1650" w:rsidRPr="006E1650" w:rsidRDefault="006E1650" w:rsidP="005E0C40">
      <w:pPr>
        <w:spacing w:after="0" w:line="240" w:lineRule="auto"/>
        <w:ind w:left="-450" w:right="-900"/>
        <w:rPr>
          <w:b/>
          <w:bCs/>
        </w:rPr>
      </w:pPr>
      <w:r w:rsidRPr="006E1650">
        <w:t>The Contractor must comply with all applicable laws related to data</w:t>
      </w:r>
      <w:r w:rsidR="009D5855" w:rsidRPr="001C7BF9">
        <w:rPr>
          <w:b/>
          <w:bCs/>
        </w:rPr>
        <w:t xml:space="preserve"> </w:t>
      </w:r>
      <w:r w:rsidRPr="006E1650">
        <w:t xml:space="preserve">privacy and security, including IRS Pub 1075. Prior to entering into </w:t>
      </w:r>
      <w:proofErr w:type="gramStart"/>
      <w:r w:rsidRPr="006E1650">
        <w:t>a</w:t>
      </w:r>
      <w:proofErr w:type="gramEnd"/>
      <w:r w:rsidRPr="006E1650">
        <w:t xml:space="preserve"> SLA with a</w:t>
      </w:r>
      <w:r w:rsidR="009D5855" w:rsidRPr="001C7BF9">
        <w:rPr>
          <w:b/>
          <w:bCs/>
        </w:rPr>
        <w:t xml:space="preserve"> </w:t>
      </w:r>
      <w:r w:rsidRPr="006E1650">
        <w:t>Purchasing Entity, the Contractor and Purchasing Entity must cooperate and hold a</w:t>
      </w:r>
    </w:p>
    <w:p w14:paraId="3C09F07E" w14:textId="30BEA7C0" w:rsidR="006E1650" w:rsidRPr="001C7BF9" w:rsidRDefault="006E1650" w:rsidP="005E0C40">
      <w:pPr>
        <w:spacing w:after="0" w:line="240" w:lineRule="auto"/>
        <w:ind w:left="-450" w:right="-900"/>
      </w:pPr>
      <w:r w:rsidRPr="006E1650">
        <w:t>meeting to determine the Data Categorization to determine what data the Contractor will</w:t>
      </w:r>
      <w:r w:rsidR="009D5855" w:rsidRPr="001C7BF9">
        <w:t xml:space="preserve"> </w:t>
      </w:r>
      <w:r w:rsidRPr="006E1650">
        <w:t>hold, store, or process. The Contractor must document the Data Categorization in the</w:t>
      </w:r>
      <w:r w:rsidR="009D5855" w:rsidRPr="001C7BF9">
        <w:t xml:space="preserve"> </w:t>
      </w:r>
      <w:r w:rsidRPr="001C7BF9">
        <w:t>SLA or Statement of Work.</w:t>
      </w:r>
    </w:p>
    <w:sectPr w:rsidR="006E1650" w:rsidRPr="001C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482B"/>
    <w:multiLevelType w:val="hybridMultilevel"/>
    <w:tmpl w:val="81F2B50A"/>
    <w:lvl w:ilvl="0" w:tplc="041A950E">
      <w:start w:val="1"/>
      <w:numFmt w:val="decimal"/>
      <w:lvlText w:val="%1."/>
      <w:lvlJc w:val="left"/>
      <w:pPr>
        <w:ind w:left="-90" w:hanging="360"/>
      </w:pPr>
      <w:rPr>
        <w:rFonts w:ascii="Calibri-Bold" w:hAnsi="Calibri-Bold" w:cs="Calibri-Bold"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510C0FE8"/>
    <w:multiLevelType w:val="multilevel"/>
    <w:tmpl w:val="F7F65322"/>
    <w:lvl w:ilvl="0">
      <w:start w:val="1"/>
      <w:numFmt w:val="decimal"/>
      <w:lvlText w:val="%1"/>
      <w:lvlJc w:val="left"/>
      <w:pPr>
        <w:ind w:left="360" w:hanging="360"/>
      </w:pPr>
      <w:rPr>
        <w:rFonts w:ascii="Calibri-Bold" w:hAnsi="Calibri-Bold" w:cs="Calibri-Bold" w:hint="default"/>
        <w:b/>
      </w:rPr>
    </w:lvl>
    <w:lvl w:ilvl="1">
      <w:start w:val="1"/>
      <w:numFmt w:val="decimal"/>
      <w:lvlText w:val="%1.%2"/>
      <w:lvlJc w:val="left"/>
      <w:pPr>
        <w:ind w:left="-90" w:hanging="360"/>
      </w:pPr>
      <w:rPr>
        <w:rFonts w:ascii="Calibri-Bold" w:hAnsi="Calibri-Bold" w:cs="Calibri-Bold" w:hint="default"/>
        <w:b/>
      </w:rPr>
    </w:lvl>
    <w:lvl w:ilvl="2">
      <w:start w:val="1"/>
      <w:numFmt w:val="decimal"/>
      <w:lvlText w:val="%1.%2.%3"/>
      <w:lvlJc w:val="left"/>
      <w:pPr>
        <w:ind w:left="-180" w:hanging="720"/>
      </w:pPr>
      <w:rPr>
        <w:rFonts w:ascii="Calibri-Bold" w:hAnsi="Calibri-Bold" w:cs="Calibri-Bold" w:hint="default"/>
        <w:b/>
      </w:rPr>
    </w:lvl>
    <w:lvl w:ilvl="3">
      <w:start w:val="1"/>
      <w:numFmt w:val="decimal"/>
      <w:lvlText w:val="%1.%2.%3.%4"/>
      <w:lvlJc w:val="left"/>
      <w:pPr>
        <w:ind w:left="-630" w:hanging="720"/>
      </w:pPr>
      <w:rPr>
        <w:rFonts w:ascii="Calibri-Bold" w:hAnsi="Calibri-Bold" w:cs="Calibri-Bold" w:hint="default"/>
        <w:b/>
      </w:rPr>
    </w:lvl>
    <w:lvl w:ilvl="4">
      <w:start w:val="1"/>
      <w:numFmt w:val="decimal"/>
      <w:lvlText w:val="%1.%2.%3.%4.%5"/>
      <w:lvlJc w:val="left"/>
      <w:pPr>
        <w:ind w:left="-720" w:hanging="1080"/>
      </w:pPr>
      <w:rPr>
        <w:rFonts w:ascii="Calibri-Bold" w:hAnsi="Calibri-Bold" w:cs="Calibri-Bold" w:hint="default"/>
        <w:b/>
      </w:rPr>
    </w:lvl>
    <w:lvl w:ilvl="5">
      <w:start w:val="1"/>
      <w:numFmt w:val="decimal"/>
      <w:lvlText w:val="%1.%2.%3.%4.%5.%6"/>
      <w:lvlJc w:val="left"/>
      <w:pPr>
        <w:ind w:left="-1170" w:hanging="1080"/>
      </w:pPr>
      <w:rPr>
        <w:rFonts w:ascii="Calibri-Bold" w:hAnsi="Calibri-Bold" w:cs="Calibri-Bold" w:hint="default"/>
        <w:b/>
      </w:rPr>
    </w:lvl>
    <w:lvl w:ilvl="6">
      <w:start w:val="1"/>
      <w:numFmt w:val="decimal"/>
      <w:lvlText w:val="%1.%2.%3.%4.%5.%6.%7"/>
      <w:lvlJc w:val="left"/>
      <w:pPr>
        <w:ind w:left="-1260" w:hanging="1440"/>
      </w:pPr>
      <w:rPr>
        <w:rFonts w:ascii="Calibri-Bold" w:hAnsi="Calibri-Bold" w:cs="Calibri-Bold" w:hint="default"/>
        <w:b/>
      </w:rPr>
    </w:lvl>
    <w:lvl w:ilvl="7">
      <w:start w:val="1"/>
      <w:numFmt w:val="decimal"/>
      <w:lvlText w:val="%1.%2.%3.%4.%5.%6.%7.%8"/>
      <w:lvlJc w:val="left"/>
      <w:pPr>
        <w:ind w:left="-1710" w:hanging="1440"/>
      </w:pPr>
      <w:rPr>
        <w:rFonts w:ascii="Calibri-Bold" w:hAnsi="Calibri-Bold" w:cs="Calibri-Bold" w:hint="default"/>
        <w:b/>
      </w:rPr>
    </w:lvl>
    <w:lvl w:ilvl="8">
      <w:start w:val="1"/>
      <w:numFmt w:val="decimal"/>
      <w:lvlText w:val="%1.%2.%3.%4.%5.%6.%7.%8.%9"/>
      <w:lvlJc w:val="left"/>
      <w:pPr>
        <w:ind w:left="-2160" w:hanging="1440"/>
      </w:pPr>
      <w:rPr>
        <w:rFonts w:ascii="Calibri-Bold" w:hAnsi="Calibri-Bold" w:cs="Calibri-Bold" w:hint="default"/>
        <w:b/>
      </w:rPr>
    </w:lvl>
  </w:abstractNum>
  <w:abstractNum w:abstractNumId="2"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B9"/>
    <w:rsid w:val="00065E1D"/>
    <w:rsid w:val="000B52C1"/>
    <w:rsid w:val="000B592B"/>
    <w:rsid w:val="00162508"/>
    <w:rsid w:val="001846DB"/>
    <w:rsid w:val="001C7BF9"/>
    <w:rsid w:val="00215180"/>
    <w:rsid w:val="00250388"/>
    <w:rsid w:val="002B5CFB"/>
    <w:rsid w:val="004B3391"/>
    <w:rsid w:val="00593800"/>
    <w:rsid w:val="005E0C40"/>
    <w:rsid w:val="006338FF"/>
    <w:rsid w:val="006C0343"/>
    <w:rsid w:val="006E1650"/>
    <w:rsid w:val="00805773"/>
    <w:rsid w:val="009D5855"/>
    <w:rsid w:val="00B26DEF"/>
    <w:rsid w:val="00B444B9"/>
    <w:rsid w:val="00BE3D0C"/>
    <w:rsid w:val="00CB386D"/>
    <w:rsid w:val="00E03A1A"/>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A13B"/>
  <w15:chartTrackingRefBased/>
  <w15:docId w15:val="{2083BE4A-3890-4412-88C6-A91931E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1A"/>
    <w:pPr>
      <w:ind w:left="720"/>
      <w:contextualSpacing/>
    </w:pPr>
  </w:style>
  <w:style w:type="character" w:styleId="CommentReference">
    <w:name w:val="annotation reference"/>
    <w:basedOn w:val="DefaultParagraphFont"/>
    <w:uiPriority w:val="99"/>
    <w:semiHidden/>
    <w:unhideWhenUsed/>
    <w:rsid w:val="001846DB"/>
    <w:rPr>
      <w:sz w:val="16"/>
      <w:szCs w:val="16"/>
    </w:rPr>
  </w:style>
  <w:style w:type="paragraph" w:styleId="CommentText">
    <w:name w:val="annotation text"/>
    <w:basedOn w:val="Normal"/>
    <w:link w:val="CommentTextChar"/>
    <w:uiPriority w:val="99"/>
    <w:semiHidden/>
    <w:unhideWhenUsed/>
    <w:rsid w:val="001846DB"/>
    <w:pPr>
      <w:spacing w:line="240" w:lineRule="auto"/>
    </w:pPr>
    <w:rPr>
      <w:sz w:val="20"/>
      <w:szCs w:val="20"/>
    </w:rPr>
  </w:style>
  <w:style w:type="character" w:customStyle="1" w:styleId="CommentTextChar">
    <w:name w:val="Comment Text Char"/>
    <w:basedOn w:val="DefaultParagraphFont"/>
    <w:link w:val="CommentText"/>
    <w:uiPriority w:val="99"/>
    <w:semiHidden/>
    <w:rsid w:val="001846DB"/>
    <w:rPr>
      <w:sz w:val="20"/>
      <w:szCs w:val="20"/>
    </w:rPr>
  </w:style>
  <w:style w:type="paragraph" w:styleId="CommentSubject">
    <w:name w:val="annotation subject"/>
    <w:basedOn w:val="CommentText"/>
    <w:next w:val="CommentText"/>
    <w:link w:val="CommentSubjectChar"/>
    <w:uiPriority w:val="99"/>
    <w:semiHidden/>
    <w:unhideWhenUsed/>
    <w:rsid w:val="001846DB"/>
    <w:rPr>
      <w:b/>
      <w:bCs/>
    </w:rPr>
  </w:style>
  <w:style w:type="character" w:customStyle="1" w:styleId="CommentSubjectChar">
    <w:name w:val="Comment Subject Char"/>
    <w:basedOn w:val="CommentTextChar"/>
    <w:link w:val="CommentSubject"/>
    <w:uiPriority w:val="99"/>
    <w:semiHidden/>
    <w:rsid w:val="001846DB"/>
    <w:rPr>
      <w:b/>
      <w:bCs/>
      <w:sz w:val="20"/>
      <w:szCs w:val="20"/>
    </w:rPr>
  </w:style>
  <w:style w:type="paragraph" w:styleId="BalloonText">
    <w:name w:val="Balloon Text"/>
    <w:basedOn w:val="Normal"/>
    <w:link w:val="BalloonTextChar"/>
    <w:uiPriority w:val="99"/>
    <w:semiHidden/>
    <w:unhideWhenUsed/>
    <w:rsid w:val="00184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8DE5-E503-4D87-BCFF-9AB53ABC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Guevara</dc:creator>
  <cp:keywords/>
  <dc:description/>
  <cp:lastModifiedBy>Kimberly Guevara</cp:lastModifiedBy>
  <cp:revision>6</cp:revision>
  <dcterms:created xsi:type="dcterms:W3CDTF">2020-11-12T16:54:00Z</dcterms:created>
  <dcterms:modified xsi:type="dcterms:W3CDTF">2021-03-17T15:21:00Z</dcterms:modified>
</cp:coreProperties>
</file>