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86A" w:rsidRPr="00B41FE1" w:rsidRDefault="0062286A" w:rsidP="005E1BF4">
      <w:pPr>
        <w:autoSpaceDE w:val="0"/>
        <w:autoSpaceDN w:val="0"/>
        <w:adjustRightInd w:val="0"/>
        <w:spacing w:after="0" w:line="240" w:lineRule="auto"/>
        <w:jc w:val="center"/>
        <w:rPr>
          <w:rFonts w:ascii="Arial" w:hAnsi="Arial" w:cs="Arial"/>
          <w:b/>
          <w:bCs/>
          <w:color w:val="000000"/>
          <w:u w:val="single"/>
        </w:rPr>
      </w:pPr>
      <w:r w:rsidRPr="00B41FE1">
        <w:rPr>
          <w:rFonts w:ascii="Arial" w:hAnsi="Arial" w:cs="Arial"/>
          <w:b/>
          <w:bCs/>
          <w:color w:val="000000"/>
          <w:u w:val="single"/>
        </w:rPr>
        <w:t>Contract Instructions</w:t>
      </w:r>
    </w:p>
    <w:p w:rsidR="006D3A7E" w:rsidRPr="00B41FE1" w:rsidRDefault="006D3A7E" w:rsidP="005E1BF4">
      <w:pPr>
        <w:autoSpaceDE w:val="0"/>
        <w:autoSpaceDN w:val="0"/>
        <w:adjustRightInd w:val="0"/>
        <w:spacing w:after="0" w:line="240" w:lineRule="auto"/>
        <w:jc w:val="center"/>
        <w:rPr>
          <w:rFonts w:ascii="Arial" w:hAnsi="Arial" w:cs="Arial"/>
          <w:b/>
          <w:bCs/>
          <w:color w:val="000000"/>
        </w:rPr>
      </w:pPr>
    </w:p>
    <w:p w:rsidR="0062286A" w:rsidRPr="00B41FE1" w:rsidRDefault="00D3401C" w:rsidP="005E1BF4">
      <w:pPr>
        <w:autoSpaceDE w:val="0"/>
        <w:autoSpaceDN w:val="0"/>
        <w:adjustRightInd w:val="0"/>
        <w:spacing w:after="0" w:line="240" w:lineRule="auto"/>
        <w:jc w:val="center"/>
        <w:rPr>
          <w:rFonts w:ascii="Arial" w:hAnsi="Arial" w:cs="Arial"/>
          <w:b/>
          <w:bCs/>
          <w:color w:val="000000"/>
          <w:u w:val="single"/>
        </w:rPr>
      </w:pPr>
      <w:r w:rsidRPr="00B41FE1">
        <w:rPr>
          <w:rFonts w:ascii="Arial" w:hAnsi="Arial" w:cs="Arial"/>
          <w:b/>
          <w:bCs/>
          <w:color w:val="000000"/>
          <w:u w:val="single"/>
        </w:rPr>
        <w:t>Contracts for IT Security Related Products</w:t>
      </w:r>
    </w:p>
    <w:p w:rsidR="0062286A" w:rsidRPr="00B41FE1" w:rsidRDefault="0062286A" w:rsidP="005E1BF4">
      <w:pPr>
        <w:autoSpaceDE w:val="0"/>
        <w:autoSpaceDN w:val="0"/>
        <w:adjustRightInd w:val="0"/>
        <w:spacing w:after="0" w:line="240" w:lineRule="auto"/>
        <w:rPr>
          <w:rFonts w:ascii="Arial" w:hAnsi="Arial" w:cs="Arial"/>
          <w:b/>
          <w:bCs/>
          <w:color w:val="000000"/>
          <w:u w:val="single"/>
        </w:rPr>
      </w:pPr>
    </w:p>
    <w:p w:rsidR="006D3A7E" w:rsidRPr="00B41FE1" w:rsidRDefault="006D3A7E" w:rsidP="005E1BF4">
      <w:pPr>
        <w:autoSpaceDE w:val="0"/>
        <w:autoSpaceDN w:val="0"/>
        <w:adjustRightInd w:val="0"/>
        <w:spacing w:after="0" w:line="240" w:lineRule="auto"/>
        <w:rPr>
          <w:rFonts w:ascii="Arial" w:hAnsi="Arial" w:cs="Arial"/>
          <w:color w:val="000000"/>
        </w:rPr>
      </w:pPr>
    </w:p>
    <w:p w:rsidR="0062286A" w:rsidRPr="00B41FE1" w:rsidRDefault="0062286A" w:rsidP="005E1BF4">
      <w:pPr>
        <w:autoSpaceDE w:val="0"/>
        <w:autoSpaceDN w:val="0"/>
        <w:adjustRightInd w:val="0"/>
        <w:spacing w:after="0" w:line="240" w:lineRule="auto"/>
        <w:rPr>
          <w:rFonts w:ascii="Arial" w:hAnsi="Arial" w:cs="Arial"/>
          <w:color w:val="0000FF"/>
        </w:rPr>
      </w:pPr>
      <w:r w:rsidRPr="00B41FE1">
        <w:rPr>
          <w:rFonts w:ascii="Arial" w:hAnsi="Arial" w:cs="Arial"/>
          <w:color w:val="000000"/>
        </w:rPr>
        <w:t xml:space="preserve">1. Go to </w:t>
      </w:r>
      <w:hyperlink r:id="rId5" w:history="1">
        <w:r w:rsidR="006D3A7E" w:rsidRPr="00B41FE1">
          <w:rPr>
            <w:rStyle w:val="Hyperlink"/>
            <w:rFonts w:ascii="Arial" w:hAnsi="Arial" w:cs="Arial"/>
          </w:rPr>
          <w:t>http://purchasing.idaho.gov/statewide_contracts.html</w:t>
        </w:r>
      </w:hyperlink>
      <w:r w:rsidR="006D3A7E" w:rsidRPr="00B41FE1">
        <w:rPr>
          <w:rFonts w:ascii="Arial" w:hAnsi="Arial" w:cs="Arial"/>
          <w:color w:val="0000FF"/>
        </w:rPr>
        <w:t xml:space="preserve"> </w:t>
      </w:r>
    </w:p>
    <w:p w:rsidR="006D3A7E" w:rsidRPr="00B41FE1" w:rsidRDefault="006D3A7E" w:rsidP="005E1BF4">
      <w:pPr>
        <w:autoSpaceDE w:val="0"/>
        <w:autoSpaceDN w:val="0"/>
        <w:adjustRightInd w:val="0"/>
        <w:spacing w:after="0" w:line="240" w:lineRule="auto"/>
        <w:rPr>
          <w:rFonts w:ascii="Arial" w:hAnsi="Arial" w:cs="Arial"/>
          <w:color w:val="000000"/>
        </w:rPr>
      </w:pPr>
    </w:p>
    <w:p w:rsidR="0062286A" w:rsidRPr="00B41FE1" w:rsidRDefault="00D3401C" w:rsidP="005E1BF4">
      <w:pPr>
        <w:autoSpaceDE w:val="0"/>
        <w:autoSpaceDN w:val="0"/>
        <w:adjustRightInd w:val="0"/>
        <w:spacing w:after="0" w:line="240" w:lineRule="auto"/>
        <w:rPr>
          <w:rFonts w:ascii="Arial" w:hAnsi="Arial" w:cs="Arial"/>
          <w:color w:val="000000"/>
        </w:rPr>
      </w:pPr>
      <w:r w:rsidRPr="00B41FE1">
        <w:rPr>
          <w:rFonts w:ascii="Arial" w:hAnsi="Arial" w:cs="Arial"/>
          <w:color w:val="000000"/>
        </w:rPr>
        <w:t>2. Scroll</w:t>
      </w:r>
      <w:r w:rsidR="006D3A7E" w:rsidRPr="00B41FE1">
        <w:rPr>
          <w:rFonts w:ascii="Arial" w:hAnsi="Arial" w:cs="Arial"/>
          <w:color w:val="000000"/>
        </w:rPr>
        <w:t xml:space="preserve"> to </w:t>
      </w:r>
      <w:r w:rsidRPr="00B41FE1">
        <w:rPr>
          <w:rFonts w:ascii="Arial" w:hAnsi="Arial" w:cs="Arial"/>
          <w:color w:val="000000"/>
        </w:rPr>
        <w:t>Security-Related Products.</w:t>
      </w:r>
    </w:p>
    <w:p w:rsidR="006D3A7E" w:rsidRPr="00B41FE1" w:rsidRDefault="006D3A7E" w:rsidP="005E1BF4">
      <w:pPr>
        <w:autoSpaceDE w:val="0"/>
        <w:autoSpaceDN w:val="0"/>
        <w:adjustRightInd w:val="0"/>
        <w:spacing w:after="0" w:line="240" w:lineRule="auto"/>
        <w:rPr>
          <w:rFonts w:ascii="Arial" w:hAnsi="Arial" w:cs="Arial"/>
          <w:color w:val="000000"/>
        </w:rPr>
      </w:pPr>
    </w:p>
    <w:p w:rsidR="00551873" w:rsidRPr="00B41FE1" w:rsidRDefault="00D3401C" w:rsidP="005E1BF4">
      <w:pPr>
        <w:autoSpaceDE w:val="0"/>
        <w:autoSpaceDN w:val="0"/>
        <w:adjustRightInd w:val="0"/>
        <w:spacing w:after="0" w:line="240" w:lineRule="auto"/>
        <w:rPr>
          <w:rFonts w:ascii="Arial" w:hAnsi="Arial" w:cs="Arial"/>
          <w:color w:val="000000"/>
        </w:rPr>
      </w:pPr>
      <w:r w:rsidRPr="00B41FE1">
        <w:rPr>
          <w:rFonts w:ascii="Arial" w:hAnsi="Arial" w:cs="Arial"/>
          <w:color w:val="000000"/>
        </w:rPr>
        <w:t>3</w:t>
      </w:r>
      <w:r w:rsidR="0062286A" w:rsidRPr="00B41FE1">
        <w:rPr>
          <w:rFonts w:ascii="Arial" w:hAnsi="Arial" w:cs="Arial"/>
          <w:color w:val="000000"/>
        </w:rPr>
        <w:t xml:space="preserve">. </w:t>
      </w:r>
      <w:r w:rsidR="00551873" w:rsidRPr="00B41FE1">
        <w:rPr>
          <w:rFonts w:ascii="Arial" w:hAnsi="Arial" w:cs="Arial"/>
          <w:color w:val="000000"/>
        </w:rPr>
        <w:t>See the PowerPoint in the “IT Security Related Products Breakout” link f</w:t>
      </w:r>
      <w:r w:rsidRPr="00B41FE1">
        <w:rPr>
          <w:rFonts w:ascii="Arial" w:hAnsi="Arial" w:cs="Arial"/>
          <w:color w:val="000000"/>
        </w:rPr>
        <w:t>or</w:t>
      </w:r>
      <w:r w:rsidR="00551873" w:rsidRPr="00B41FE1">
        <w:rPr>
          <w:rFonts w:ascii="Arial" w:hAnsi="Arial" w:cs="Arial"/>
          <w:color w:val="000000"/>
        </w:rPr>
        <w:t>:</w:t>
      </w:r>
    </w:p>
    <w:p w:rsidR="00551873" w:rsidRPr="00B41FE1" w:rsidRDefault="00551873" w:rsidP="005E1BF4">
      <w:pPr>
        <w:autoSpaceDE w:val="0"/>
        <w:autoSpaceDN w:val="0"/>
        <w:adjustRightInd w:val="0"/>
        <w:spacing w:after="0" w:line="240" w:lineRule="auto"/>
        <w:ind w:left="360"/>
        <w:rPr>
          <w:rFonts w:ascii="Arial" w:hAnsi="Arial" w:cs="Arial"/>
          <w:color w:val="000000"/>
        </w:rPr>
      </w:pPr>
      <w:r w:rsidRPr="00B41FE1">
        <w:rPr>
          <w:rFonts w:ascii="Arial" w:hAnsi="Arial" w:cs="Arial"/>
          <w:color w:val="000000"/>
        </w:rPr>
        <w:t>i. A</w:t>
      </w:r>
      <w:r w:rsidR="00D3401C" w:rsidRPr="00B41FE1">
        <w:rPr>
          <w:rFonts w:ascii="Arial" w:hAnsi="Arial" w:cs="Arial"/>
          <w:color w:val="000000"/>
        </w:rPr>
        <w:t xml:space="preserve"> list of Contractors</w:t>
      </w:r>
      <w:r w:rsidRPr="00B41FE1">
        <w:rPr>
          <w:rFonts w:ascii="Arial" w:hAnsi="Arial" w:cs="Arial"/>
          <w:color w:val="000000"/>
        </w:rPr>
        <w:t xml:space="preserve"> and</w:t>
      </w:r>
      <w:r w:rsidR="00D3401C" w:rsidRPr="00B41FE1">
        <w:rPr>
          <w:rFonts w:ascii="Arial" w:hAnsi="Arial" w:cs="Arial"/>
          <w:color w:val="000000"/>
        </w:rPr>
        <w:t xml:space="preserve"> Contract Numbers</w:t>
      </w:r>
      <w:r w:rsidRPr="00B41FE1">
        <w:rPr>
          <w:rFonts w:ascii="Arial" w:hAnsi="Arial" w:cs="Arial"/>
          <w:color w:val="000000"/>
        </w:rPr>
        <w:t xml:space="preserve"> along with the </w:t>
      </w:r>
      <w:r w:rsidR="00D3401C" w:rsidRPr="00B41FE1">
        <w:rPr>
          <w:rFonts w:ascii="Arial" w:hAnsi="Arial" w:cs="Arial"/>
          <w:color w:val="000000"/>
        </w:rPr>
        <w:t>Software Publishers</w:t>
      </w:r>
      <w:r w:rsidRPr="00B41FE1">
        <w:rPr>
          <w:rFonts w:ascii="Arial" w:hAnsi="Arial" w:cs="Arial"/>
          <w:color w:val="000000"/>
        </w:rPr>
        <w:t xml:space="preserve"> under each of those Contracts.</w:t>
      </w:r>
    </w:p>
    <w:p w:rsidR="006D3A7E" w:rsidRPr="00B41FE1" w:rsidRDefault="00551873" w:rsidP="005E1BF4">
      <w:pPr>
        <w:autoSpaceDE w:val="0"/>
        <w:autoSpaceDN w:val="0"/>
        <w:adjustRightInd w:val="0"/>
        <w:spacing w:after="0" w:line="240" w:lineRule="auto"/>
        <w:ind w:left="360"/>
        <w:rPr>
          <w:rFonts w:ascii="Arial" w:hAnsi="Arial" w:cs="Arial"/>
          <w:color w:val="000000"/>
        </w:rPr>
      </w:pPr>
      <w:r w:rsidRPr="00B41FE1">
        <w:rPr>
          <w:rFonts w:ascii="Arial" w:hAnsi="Arial" w:cs="Arial"/>
          <w:color w:val="000000"/>
        </w:rPr>
        <w:t>ii.</w:t>
      </w:r>
      <w:r w:rsidR="00D3401C" w:rsidRPr="00B41FE1">
        <w:rPr>
          <w:rFonts w:ascii="Arial" w:hAnsi="Arial" w:cs="Arial"/>
          <w:color w:val="000000"/>
        </w:rPr>
        <w:t xml:space="preserve"> Contractor c</w:t>
      </w:r>
      <w:r w:rsidRPr="00B41FE1">
        <w:rPr>
          <w:rFonts w:ascii="Arial" w:hAnsi="Arial" w:cs="Arial"/>
          <w:color w:val="000000"/>
        </w:rPr>
        <w:t>ontact information is shown on the last slide.</w:t>
      </w:r>
    </w:p>
    <w:p w:rsidR="006D3A7E" w:rsidRPr="00B41FE1" w:rsidRDefault="006D3A7E" w:rsidP="005E1BF4">
      <w:pPr>
        <w:autoSpaceDE w:val="0"/>
        <w:autoSpaceDN w:val="0"/>
        <w:adjustRightInd w:val="0"/>
        <w:spacing w:after="0" w:line="240" w:lineRule="auto"/>
        <w:rPr>
          <w:rFonts w:ascii="Arial" w:hAnsi="Arial" w:cs="Arial"/>
          <w:color w:val="000000"/>
        </w:rPr>
      </w:pPr>
    </w:p>
    <w:p w:rsidR="00C06BC1" w:rsidRPr="00B41FE1" w:rsidRDefault="00C06BC1" w:rsidP="005E1BF4">
      <w:pPr>
        <w:autoSpaceDE w:val="0"/>
        <w:autoSpaceDN w:val="0"/>
        <w:adjustRightInd w:val="0"/>
        <w:spacing w:after="0" w:line="240" w:lineRule="auto"/>
        <w:rPr>
          <w:rFonts w:ascii="Arial" w:hAnsi="Arial" w:cs="Arial"/>
          <w:color w:val="000000"/>
        </w:rPr>
      </w:pPr>
    </w:p>
    <w:p w:rsidR="006D3A7E" w:rsidRPr="00B41FE1" w:rsidRDefault="00D3401C" w:rsidP="005E1BF4">
      <w:pPr>
        <w:autoSpaceDE w:val="0"/>
        <w:autoSpaceDN w:val="0"/>
        <w:adjustRightInd w:val="0"/>
        <w:spacing w:after="0" w:line="240" w:lineRule="auto"/>
        <w:rPr>
          <w:rFonts w:ascii="Arial" w:hAnsi="Arial" w:cs="Arial"/>
          <w:color w:val="000000"/>
        </w:rPr>
      </w:pPr>
      <w:r w:rsidRPr="00B41FE1">
        <w:rPr>
          <w:rFonts w:ascii="Arial" w:hAnsi="Arial" w:cs="Arial"/>
          <w:color w:val="000000"/>
        </w:rPr>
        <w:t xml:space="preserve">4. </w:t>
      </w:r>
      <w:r w:rsidR="00C06BC1" w:rsidRPr="00B41FE1">
        <w:rPr>
          <w:rFonts w:ascii="Arial" w:hAnsi="Arial" w:cs="Arial"/>
          <w:b/>
          <w:color w:val="000000"/>
        </w:rPr>
        <w:t>IMPORTANT(!)</w:t>
      </w:r>
      <w:r w:rsidR="006D3A7E" w:rsidRPr="00B41FE1">
        <w:rPr>
          <w:rFonts w:ascii="Arial" w:hAnsi="Arial" w:cs="Arial"/>
          <w:b/>
          <w:color w:val="000000"/>
        </w:rPr>
        <w:t>:</w:t>
      </w:r>
      <w:r w:rsidR="006D3A7E" w:rsidRPr="00B41FE1">
        <w:rPr>
          <w:rFonts w:ascii="Arial" w:hAnsi="Arial" w:cs="Arial"/>
          <w:color w:val="000000"/>
        </w:rPr>
        <w:t xml:space="preserve"> </w:t>
      </w:r>
      <w:r w:rsidRPr="00B41FE1">
        <w:rPr>
          <w:rFonts w:ascii="Arial" w:hAnsi="Arial" w:cs="Arial"/>
          <w:color w:val="000000"/>
        </w:rPr>
        <w:t>There have been multiple awards made relating to several Publishers (see the first three (3) slides in</w:t>
      </w:r>
      <w:bookmarkStart w:id="0" w:name="_GoBack"/>
      <w:bookmarkEnd w:id="0"/>
      <w:r w:rsidRPr="00B41FE1">
        <w:rPr>
          <w:rFonts w:ascii="Arial" w:hAnsi="Arial" w:cs="Arial"/>
          <w:color w:val="000000"/>
        </w:rPr>
        <w:t xml:space="preserve"> the PowerPoint in the “IT Security Related Products Breakout” link).</w:t>
      </w:r>
    </w:p>
    <w:p w:rsidR="006D3A7E" w:rsidRPr="00B41FE1" w:rsidRDefault="00D3401C" w:rsidP="005E1BF4">
      <w:pPr>
        <w:autoSpaceDE w:val="0"/>
        <w:autoSpaceDN w:val="0"/>
        <w:adjustRightInd w:val="0"/>
        <w:spacing w:after="0" w:line="240" w:lineRule="auto"/>
        <w:ind w:left="360"/>
        <w:rPr>
          <w:rFonts w:ascii="Arial" w:hAnsi="Arial" w:cs="Arial"/>
          <w:color w:val="000000"/>
        </w:rPr>
      </w:pPr>
      <w:r w:rsidRPr="00B41FE1">
        <w:rPr>
          <w:rFonts w:ascii="Arial" w:hAnsi="Arial" w:cs="Arial"/>
          <w:color w:val="000000"/>
        </w:rPr>
        <w:t>i. For each of those instances</w:t>
      </w:r>
      <w:r w:rsidR="00551873" w:rsidRPr="00B41FE1">
        <w:rPr>
          <w:rFonts w:ascii="Arial" w:hAnsi="Arial" w:cs="Arial"/>
          <w:color w:val="000000"/>
        </w:rPr>
        <w:t xml:space="preserve"> in which there has been a multiple award, a</w:t>
      </w:r>
      <w:r w:rsidRPr="00B41FE1">
        <w:rPr>
          <w:rFonts w:ascii="Arial" w:hAnsi="Arial" w:cs="Arial"/>
          <w:color w:val="000000"/>
        </w:rPr>
        <w:t xml:space="preserve">gencies </w:t>
      </w:r>
      <w:r w:rsidRPr="00B41FE1">
        <w:rPr>
          <w:rFonts w:ascii="Arial" w:hAnsi="Arial" w:cs="Arial"/>
          <w:b/>
          <w:color w:val="000000"/>
          <w:u w:val="single"/>
        </w:rPr>
        <w:t>MUST</w:t>
      </w:r>
      <w:r w:rsidRPr="00B41FE1">
        <w:rPr>
          <w:rFonts w:ascii="Arial" w:hAnsi="Arial" w:cs="Arial"/>
          <w:color w:val="000000"/>
        </w:rPr>
        <w:t xml:space="preserve"> </w:t>
      </w:r>
      <w:r w:rsidRPr="00B41FE1">
        <w:rPr>
          <w:rFonts w:ascii="Arial" w:hAnsi="Arial" w:cs="Arial"/>
          <w:b/>
          <w:color w:val="000000"/>
        </w:rPr>
        <w:t>follow I.C. § 67-9211(3)</w:t>
      </w:r>
      <w:r w:rsidRPr="00B41FE1">
        <w:rPr>
          <w:rFonts w:ascii="Arial" w:hAnsi="Arial" w:cs="Arial"/>
          <w:color w:val="000000"/>
        </w:rPr>
        <w:t xml:space="preserve"> when ma</w:t>
      </w:r>
      <w:r w:rsidR="00551873" w:rsidRPr="00B41FE1">
        <w:rPr>
          <w:rFonts w:ascii="Arial" w:hAnsi="Arial" w:cs="Arial"/>
          <w:color w:val="000000"/>
        </w:rPr>
        <w:t>king decisions as to what to purchase.</w:t>
      </w:r>
    </w:p>
    <w:p w:rsidR="00D3401C" w:rsidRPr="00B41FE1" w:rsidRDefault="00D3401C" w:rsidP="005E1BF4">
      <w:pPr>
        <w:autoSpaceDE w:val="0"/>
        <w:autoSpaceDN w:val="0"/>
        <w:adjustRightInd w:val="0"/>
        <w:spacing w:after="0" w:line="240" w:lineRule="auto"/>
        <w:rPr>
          <w:rFonts w:ascii="Arial" w:hAnsi="Arial" w:cs="Arial"/>
          <w:color w:val="000000"/>
        </w:rPr>
      </w:pPr>
    </w:p>
    <w:p w:rsidR="00C06BC1" w:rsidRPr="00B41FE1" w:rsidRDefault="00C06BC1" w:rsidP="005E1BF4">
      <w:pPr>
        <w:autoSpaceDE w:val="0"/>
        <w:autoSpaceDN w:val="0"/>
        <w:adjustRightInd w:val="0"/>
        <w:spacing w:after="0" w:line="240" w:lineRule="auto"/>
        <w:rPr>
          <w:rFonts w:ascii="Arial" w:hAnsi="Arial" w:cs="Arial"/>
          <w:color w:val="000000"/>
        </w:rPr>
      </w:pPr>
    </w:p>
    <w:p w:rsidR="00E166D3" w:rsidRPr="00B41FE1" w:rsidRDefault="00C06BC1" w:rsidP="005E1BF4">
      <w:pPr>
        <w:autoSpaceDE w:val="0"/>
        <w:autoSpaceDN w:val="0"/>
        <w:adjustRightInd w:val="0"/>
        <w:spacing w:after="0" w:line="240" w:lineRule="auto"/>
        <w:rPr>
          <w:rFonts w:ascii="Arial" w:hAnsi="Arial" w:cs="Arial"/>
          <w:color w:val="000000"/>
        </w:rPr>
      </w:pPr>
      <w:r w:rsidRPr="00B41FE1">
        <w:rPr>
          <w:rFonts w:ascii="Arial" w:hAnsi="Arial" w:cs="Arial"/>
          <w:color w:val="000000"/>
        </w:rPr>
        <w:t>5</w:t>
      </w:r>
      <w:r w:rsidR="0062286A" w:rsidRPr="00B41FE1">
        <w:rPr>
          <w:rFonts w:ascii="Arial" w:hAnsi="Arial" w:cs="Arial"/>
          <w:color w:val="000000"/>
        </w:rPr>
        <w:t xml:space="preserve">. </w:t>
      </w:r>
      <w:r w:rsidR="00551873" w:rsidRPr="00B41FE1">
        <w:rPr>
          <w:rFonts w:ascii="Arial" w:hAnsi="Arial" w:cs="Arial"/>
          <w:color w:val="000000"/>
        </w:rPr>
        <w:t>See the “Pricing</w:t>
      </w:r>
      <w:r w:rsidR="000F2FF4" w:rsidRPr="00B41FE1">
        <w:rPr>
          <w:rFonts w:ascii="Arial" w:hAnsi="Arial" w:cs="Arial"/>
          <w:color w:val="000000"/>
        </w:rPr>
        <w:t xml:space="preserve"> – All Contracts</w:t>
      </w:r>
      <w:r w:rsidR="00551873" w:rsidRPr="00B41FE1">
        <w:rPr>
          <w:rFonts w:ascii="Arial" w:hAnsi="Arial" w:cs="Arial"/>
          <w:color w:val="000000"/>
        </w:rPr>
        <w:t xml:space="preserve">” link in the </w:t>
      </w:r>
      <w:r w:rsidR="00BE0D4D" w:rsidRPr="00B41FE1">
        <w:rPr>
          <w:rFonts w:ascii="Arial" w:hAnsi="Arial" w:cs="Arial"/>
          <w:color w:val="000000"/>
        </w:rPr>
        <w:t>Contract Description</w:t>
      </w:r>
      <w:r w:rsidR="00551873" w:rsidRPr="00B41FE1">
        <w:rPr>
          <w:rFonts w:ascii="Arial" w:hAnsi="Arial" w:cs="Arial"/>
          <w:color w:val="000000"/>
        </w:rPr>
        <w:t xml:space="preserve"> column.  There is one link showing the pricing for all Contracts.</w:t>
      </w:r>
    </w:p>
    <w:p w:rsidR="00DD73F7" w:rsidRPr="00B41FE1" w:rsidRDefault="00DD73F7" w:rsidP="005E1BF4">
      <w:pPr>
        <w:autoSpaceDE w:val="0"/>
        <w:autoSpaceDN w:val="0"/>
        <w:adjustRightInd w:val="0"/>
        <w:spacing w:after="0" w:line="240" w:lineRule="auto"/>
        <w:rPr>
          <w:rFonts w:ascii="Arial" w:hAnsi="Arial" w:cs="Arial"/>
          <w:color w:val="000000"/>
        </w:rPr>
      </w:pPr>
    </w:p>
    <w:p w:rsidR="00DD73F7" w:rsidRPr="00B41FE1" w:rsidRDefault="00DD73F7" w:rsidP="005E1BF4">
      <w:pPr>
        <w:autoSpaceDE w:val="0"/>
        <w:autoSpaceDN w:val="0"/>
        <w:adjustRightInd w:val="0"/>
        <w:spacing w:after="0" w:line="240" w:lineRule="auto"/>
        <w:rPr>
          <w:rFonts w:ascii="Arial" w:hAnsi="Arial" w:cs="Arial"/>
          <w:color w:val="000000"/>
        </w:rPr>
      </w:pPr>
      <w:r w:rsidRPr="00B41FE1">
        <w:rPr>
          <w:rFonts w:ascii="Arial" w:hAnsi="Arial" w:cs="Arial"/>
          <w:color w:val="000000"/>
        </w:rPr>
        <w:t>6. Agencies should review the ITB that is included in each of the SBPO links in the Contract column to become familiar with what are now each Contract’s requirements, particularly regarding:</w:t>
      </w:r>
    </w:p>
    <w:p w:rsidR="00DD73F7" w:rsidRPr="00B41FE1" w:rsidRDefault="00DD73F7" w:rsidP="005E1BF4">
      <w:pPr>
        <w:autoSpaceDE w:val="0"/>
        <w:autoSpaceDN w:val="0"/>
        <w:adjustRightInd w:val="0"/>
        <w:spacing w:after="0" w:line="240" w:lineRule="auto"/>
        <w:ind w:left="360"/>
        <w:rPr>
          <w:rFonts w:ascii="Arial" w:hAnsi="Arial" w:cs="Arial"/>
          <w:color w:val="000000"/>
        </w:rPr>
      </w:pPr>
      <w:r w:rsidRPr="00B41FE1">
        <w:rPr>
          <w:rFonts w:ascii="Arial" w:hAnsi="Arial" w:cs="Arial"/>
          <w:color w:val="000000"/>
        </w:rPr>
        <w:t>i. Section 8.3, Maintenance and Technical Support Services</w:t>
      </w:r>
      <w:r w:rsidR="007C08AA" w:rsidRPr="00B41FE1">
        <w:rPr>
          <w:rFonts w:ascii="Arial" w:hAnsi="Arial" w:cs="Arial"/>
          <w:color w:val="000000"/>
        </w:rPr>
        <w:t xml:space="preserve"> (section 7.3 for SBPO172000373)</w:t>
      </w:r>
      <w:r w:rsidR="008E6B8A" w:rsidRPr="00B41FE1">
        <w:rPr>
          <w:rFonts w:ascii="Arial" w:hAnsi="Arial" w:cs="Arial"/>
          <w:color w:val="000000"/>
        </w:rPr>
        <w:t>.</w:t>
      </w:r>
    </w:p>
    <w:p w:rsidR="008E6B8A" w:rsidRPr="00B41FE1" w:rsidRDefault="008E6B8A" w:rsidP="005E1BF4">
      <w:pPr>
        <w:autoSpaceDE w:val="0"/>
        <w:autoSpaceDN w:val="0"/>
        <w:adjustRightInd w:val="0"/>
        <w:spacing w:after="0" w:line="240" w:lineRule="auto"/>
        <w:ind w:left="360"/>
        <w:rPr>
          <w:rFonts w:ascii="Arial" w:hAnsi="Arial" w:cs="Arial"/>
          <w:color w:val="000000"/>
        </w:rPr>
      </w:pPr>
      <w:r w:rsidRPr="00B41FE1">
        <w:rPr>
          <w:rFonts w:ascii="Arial" w:hAnsi="Arial" w:cs="Arial"/>
          <w:color w:val="000000"/>
        </w:rPr>
        <w:t>ii. Sections 13.2 and 13.3 regarding payments &amp; invoicing, and delivery</w:t>
      </w:r>
      <w:r w:rsidR="007C08AA" w:rsidRPr="00B41FE1">
        <w:rPr>
          <w:rFonts w:ascii="Arial" w:hAnsi="Arial" w:cs="Arial"/>
          <w:color w:val="000000"/>
        </w:rPr>
        <w:t xml:space="preserve"> (section 12.2 and 12.3 for SBPO172000373)</w:t>
      </w:r>
      <w:r w:rsidRPr="00B41FE1">
        <w:rPr>
          <w:rFonts w:ascii="Arial" w:hAnsi="Arial" w:cs="Arial"/>
          <w:color w:val="000000"/>
        </w:rPr>
        <w:t>.</w:t>
      </w:r>
    </w:p>
    <w:p w:rsidR="008E6B8A" w:rsidRPr="00B41FE1" w:rsidRDefault="008E6B8A" w:rsidP="005E1BF4">
      <w:pPr>
        <w:autoSpaceDE w:val="0"/>
        <w:autoSpaceDN w:val="0"/>
        <w:adjustRightInd w:val="0"/>
        <w:spacing w:after="0" w:line="240" w:lineRule="auto"/>
        <w:ind w:left="360"/>
        <w:rPr>
          <w:rFonts w:ascii="Arial" w:hAnsi="Arial" w:cs="Arial"/>
          <w:color w:val="000000"/>
        </w:rPr>
      </w:pPr>
    </w:p>
    <w:p w:rsidR="008E6B8A" w:rsidRPr="00B41FE1" w:rsidRDefault="008E6B8A" w:rsidP="005E1BF4">
      <w:pPr>
        <w:autoSpaceDE w:val="0"/>
        <w:autoSpaceDN w:val="0"/>
        <w:adjustRightInd w:val="0"/>
        <w:spacing w:after="0" w:line="240" w:lineRule="auto"/>
        <w:ind w:left="360"/>
        <w:rPr>
          <w:rFonts w:ascii="Arial" w:hAnsi="Arial" w:cs="Arial"/>
          <w:color w:val="000000"/>
        </w:rPr>
      </w:pPr>
      <w:r w:rsidRPr="00B41FE1">
        <w:rPr>
          <w:rFonts w:ascii="Arial" w:hAnsi="Arial" w:cs="Arial"/>
          <w:color w:val="000000"/>
        </w:rPr>
        <w:t xml:space="preserve">iii. </w:t>
      </w:r>
      <w:r w:rsidRPr="00B41FE1">
        <w:rPr>
          <w:rFonts w:ascii="Arial" w:hAnsi="Arial" w:cs="Arial"/>
          <w:b/>
          <w:color w:val="000000"/>
        </w:rPr>
        <w:t>IMPORTANT(!):</w:t>
      </w:r>
      <w:r w:rsidRPr="00B41FE1">
        <w:rPr>
          <w:rFonts w:ascii="Arial" w:hAnsi="Arial" w:cs="Arial"/>
          <w:color w:val="000000"/>
        </w:rPr>
        <w:t xml:space="preserve"> See section 13.12</w:t>
      </w:r>
      <w:r w:rsidR="007C08AA" w:rsidRPr="00B41FE1">
        <w:rPr>
          <w:rFonts w:ascii="Arial" w:hAnsi="Arial" w:cs="Arial"/>
          <w:color w:val="000000"/>
        </w:rPr>
        <w:t xml:space="preserve"> (section 12.12 for SBPO172000373)</w:t>
      </w:r>
      <w:r w:rsidRPr="00B41FE1">
        <w:rPr>
          <w:rFonts w:ascii="Arial" w:hAnsi="Arial" w:cs="Arial"/>
          <w:color w:val="000000"/>
        </w:rPr>
        <w:t>.  Your agency will likely be required to accept “shrink-wrap” or “click-wrap” licenses.  It is up to your agency to enforce the requirements of section 13.12 in this regard.</w:t>
      </w:r>
    </w:p>
    <w:p w:rsidR="008E6B8A" w:rsidRPr="00B41FE1" w:rsidRDefault="008E6B8A" w:rsidP="005E1BF4">
      <w:pPr>
        <w:autoSpaceDE w:val="0"/>
        <w:autoSpaceDN w:val="0"/>
        <w:adjustRightInd w:val="0"/>
        <w:spacing w:after="0" w:line="240" w:lineRule="auto"/>
        <w:ind w:left="360"/>
        <w:rPr>
          <w:rFonts w:ascii="Arial" w:hAnsi="Arial" w:cs="Arial"/>
          <w:color w:val="000000"/>
        </w:rPr>
      </w:pPr>
    </w:p>
    <w:p w:rsidR="008E6B8A" w:rsidRPr="00B41FE1" w:rsidRDefault="008E6B8A" w:rsidP="005E1BF4">
      <w:pPr>
        <w:autoSpaceDE w:val="0"/>
        <w:autoSpaceDN w:val="0"/>
        <w:adjustRightInd w:val="0"/>
        <w:spacing w:after="0" w:line="240" w:lineRule="auto"/>
        <w:ind w:left="360"/>
        <w:rPr>
          <w:rFonts w:ascii="Arial" w:hAnsi="Arial" w:cs="Arial"/>
          <w:color w:val="000000"/>
        </w:rPr>
      </w:pPr>
      <w:r w:rsidRPr="00B41FE1">
        <w:rPr>
          <w:rFonts w:ascii="Arial" w:hAnsi="Arial" w:cs="Arial"/>
          <w:color w:val="000000"/>
        </w:rPr>
        <w:t xml:space="preserve">iv. </w:t>
      </w:r>
      <w:r w:rsidRPr="00B41FE1">
        <w:rPr>
          <w:rFonts w:ascii="Arial" w:hAnsi="Arial" w:cs="Arial"/>
          <w:b/>
          <w:color w:val="000000"/>
        </w:rPr>
        <w:t>IMPORTANT(!):</w:t>
      </w:r>
      <w:r w:rsidRPr="00B41FE1">
        <w:rPr>
          <w:rFonts w:ascii="Arial" w:hAnsi="Arial" w:cs="Arial"/>
          <w:color w:val="000000"/>
        </w:rPr>
        <w:t xml:space="preserve"> Note the limitation on the purchase of SAAS products in section 13.13</w:t>
      </w:r>
      <w:r w:rsidR="007C08AA" w:rsidRPr="00B41FE1">
        <w:rPr>
          <w:rFonts w:ascii="Arial" w:hAnsi="Arial" w:cs="Arial"/>
          <w:color w:val="000000"/>
        </w:rPr>
        <w:t xml:space="preserve"> (section 12.13 for SBPO172000373</w:t>
      </w:r>
      <w:proofErr w:type="gramStart"/>
      <w:r w:rsidR="007C08AA" w:rsidRPr="00B41FE1">
        <w:rPr>
          <w:rFonts w:ascii="Arial" w:hAnsi="Arial" w:cs="Arial"/>
          <w:color w:val="000000"/>
        </w:rPr>
        <w:t>)</w:t>
      </w:r>
      <w:r w:rsidRPr="00B41FE1">
        <w:rPr>
          <w:rFonts w:ascii="Arial" w:hAnsi="Arial" w:cs="Arial"/>
          <w:color w:val="000000"/>
        </w:rPr>
        <w:t>, and</w:t>
      </w:r>
      <w:proofErr w:type="gramEnd"/>
      <w:r w:rsidRPr="00B41FE1">
        <w:rPr>
          <w:rFonts w:ascii="Arial" w:hAnsi="Arial" w:cs="Arial"/>
          <w:color w:val="000000"/>
        </w:rPr>
        <w:t xml:space="preserve"> note that It is up to your agency to ensure that your data is protected properly where it relates to SAAS products.</w:t>
      </w:r>
    </w:p>
    <w:p w:rsidR="008E6B8A" w:rsidRPr="00B41FE1" w:rsidRDefault="008E6B8A" w:rsidP="005E1BF4">
      <w:pPr>
        <w:autoSpaceDE w:val="0"/>
        <w:autoSpaceDN w:val="0"/>
        <w:adjustRightInd w:val="0"/>
        <w:spacing w:after="0" w:line="240" w:lineRule="auto"/>
        <w:ind w:left="360"/>
        <w:rPr>
          <w:rFonts w:ascii="Arial" w:hAnsi="Arial" w:cs="Arial"/>
          <w:color w:val="000000"/>
        </w:rPr>
      </w:pPr>
    </w:p>
    <w:p w:rsidR="008E6B8A" w:rsidRPr="00B41FE1" w:rsidRDefault="008E6B8A" w:rsidP="005E1BF4">
      <w:pPr>
        <w:autoSpaceDE w:val="0"/>
        <w:autoSpaceDN w:val="0"/>
        <w:adjustRightInd w:val="0"/>
        <w:spacing w:after="0" w:line="240" w:lineRule="auto"/>
        <w:ind w:left="360"/>
        <w:rPr>
          <w:rFonts w:ascii="Arial" w:hAnsi="Arial" w:cs="Arial"/>
          <w:color w:val="000000"/>
        </w:rPr>
      </w:pPr>
      <w:r w:rsidRPr="00B41FE1">
        <w:rPr>
          <w:rFonts w:ascii="Arial" w:hAnsi="Arial" w:cs="Arial"/>
          <w:color w:val="000000"/>
        </w:rPr>
        <w:t xml:space="preserve">v. </w:t>
      </w:r>
      <w:r w:rsidRPr="00B41FE1">
        <w:rPr>
          <w:rFonts w:ascii="Arial" w:hAnsi="Arial" w:cs="Arial"/>
          <w:b/>
          <w:color w:val="000000"/>
        </w:rPr>
        <w:t>IMPORTANT(!):</w:t>
      </w:r>
      <w:r w:rsidRPr="00B41FE1">
        <w:rPr>
          <w:rFonts w:ascii="Arial" w:hAnsi="Arial" w:cs="Arial"/>
          <w:color w:val="000000"/>
        </w:rPr>
        <w:t xml:space="preserve"> Note the limitation in section 15</w:t>
      </w:r>
      <w:r w:rsidR="007C08AA" w:rsidRPr="00B41FE1">
        <w:rPr>
          <w:rFonts w:ascii="Arial" w:hAnsi="Arial" w:cs="Arial"/>
          <w:color w:val="000000"/>
        </w:rPr>
        <w:t xml:space="preserve"> (section 14 for SBPO172000373)</w:t>
      </w:r>
      <w:r w:rsidRPr="00B41FE1">
        <w:rPr>
          <w:rFonts w:ascii="Arial" w:hAnsi="Arial" w:cs="Arial"/>
          <w:color w:val="000000"/>
        </w:rPr>
        <w:t>, Licensing, Service Level Agreement and Maintenance Agreement Limitation.</w:t>
      </w:r>
    </w:p>
    <w:p w:rsidR="008E6B8A" w:rsidRPr="00B41FE1" w:rsidRDefault="008E6B8A" w:rsidP="005E1BF4">
      <w:pPr>
        <w:autoSpaceDE w:val="0"/>
        <w:autoSpaceDN w:val="0"/>
        <w:adjustRightInd w:val="0"/>
        <w:spacing w:after="0" w:line="240" w:lineRule="auto"/>
        <w:ind w:left="360"/>
        <w:rPr>
          <w:rFonts w:ascii="Arial" w:hAnsi="Arial" w:cs="Arial"/>
          <w:color w:val="000000"/>
        </w:rPr>
      </w:pPr>
    </w:p>
    <w:p w:rsidR="008E6B8A" w:rsidRPr="00B41FE1" w:rsidRDefault="008E6B8A" w:rsidP="005E1BF4">
      <w:pPr>
        <w:autoSpaceDE w:val="0"/>
        <w:autoSpaceDN w:val="0"/>
        <w:adjustRightInd w:val="0"/>
        <w:spacing w:after="0" w:line="240" w:lineRule="auto"/>
        <w:ind w:left="360"/>
        <w:rPr>
          <w:rFonts w:ascii="Arial" w:hAnsi="Arial" w:cs="Arial"/>
          <w:color w:val="000000"/>
        </w:rPr>
      </w:pPr>
      <w:r w:rsidRPr="00B41FE1">
        <w:rPr>
          <w:rFonts w:ascii="Arial" w:hAnsi="Arial" w:cs="Arial"/>
          <w:color w:val="000000"/>
        </w:rPr>
        <w:t xml:space="preserve">vi.  Note also the definitions in Appendix A, </w:t>
      </w:r>
      <w:proofErr w:type="gramStart"/>
      <w:r w:rsidRPr="00B41FE1">
        <w:rPr>
          <w:rFonts w:ascii="Arial" w:hAnsi="Arial" w:cs="Arial"/>
          <w:color w:val="000000"/>
        </w:rPr>
        <w:t>in particular the</w:t>
      </w:r>
      <w:proofErr w:type="gramEnd"/>
      <w:r w:rsidRPr="00B41FE1">
        <w:rPr>
          <w:rFonts w:ascii="Arial" w:hAnsi="Arial" w:cs="Arial"/>
          <w:color w:val="000000"/>
        </w:rPr>
        <w:t xml:space="preserve"> definitions given for </w:t>
      </w:r>
      <w:r w:rsidRPr="00B41FE1">
        <w:rPr>
          <w:rFonts w:ascii="Arial" w:hAnsi="Arial" w:cs="Arial"/>
          <w:color w:val="000000"/>
          <w:u w:val="single"/>
        </w:rPr>
        <w:t>Post-Sales Installation Support</w:t>
      </w:r>
      <w:r w:rsidRPr="00B41FE1">
        <w:rPr>
          <w:rFonts w:ascii="Arial" w:hAnsi="Arial" w:cs="Arial"/>
          <w:color w:val="000000"/>
        </w:rPr>
        <w:t xml:space="preserve"> and </w:t>
      </w:r>
      <w:r w:rsidRPr="00B41FE1">
        <w:rPr>
          <w:rFonts w:ascii="Arial" w:hAnsi="Arial" w:cs="Arial"/>
          <w:color w:val="000000"/>
          <w:u w:val="single"/>
        </w:rPr>
        <w:t>pre-sales engineering</w:t>
      </w:r>
      <w:r w:rsidR="005E1BF4" w:rsidRPr="00B41FE1">
        <w:rPr>
          <w:rFonts w:ascii="Arial" w:hAnsi="Arial" w:cs="Arial"/>
          <w:color w:val="000000"/>
        </w:rPr>
        <w:t>*.</w:t>
      </w:r>
    </w:p>
    <w:p w:rsidR="005E1BF4" w:rsidRPr="00B41FE1" w:rsidRDefault="005E1BF4" w:rsidP="005E1BF4">
      <w:pPr>
        <w:autoSpaceDE w:val="0"/>
        <w:autoSpaceDN w:val="0"/>
        <w:adjustRightInd w:val="0"/>
        <w:spacing w:after="0" w:line="240" w:lineRule="auto"/>
        <w:ind w:left="360"/>
        <w:rPr>
          <w:rFonts w:ascii="Arial" w:hAnsi="Arial" w:cs="Arial"/>
          <w:color w:val="000000"/>
        </w:rPr>
      </w:pPr>
    </w:p>
    <w:p w:rsidR="005E1BF4" w:rsidRPr="00B41FE1" w:rsidRDefault="005E1BF4" w:rsidP="005E1BF4">
      <w:pPr>
        <w:spacing w:after="0" w:line="240" w:lineRule="auto"/>
        <w:rPr>
          <w:rFonts w:ascii="Arial" w:hAnsi="Arial" w:cs="Arial"/>
        </w:rPr>
      </w:pPr>
      <w:r w:rsidRPr="00B41FE1">
        <w:rPr>
          <w:rFonts w:ascii="Arial" w:hAnsi="Arial" w:cs="Arial"/>
          <w:color w:val="000000"/>
        </w:rPr>
        <w:t xml:space="preserve">* </w:t>
      </w:r>
      <w:r w:rsidRPr="00B41FE1">
        <w:rPr>
          <w:rFonts w:ascii="Arial" w:hAnsi="Arial" w:cs="Arial"/>
        </w:rPr>
        <w:t>The only services covered under the IT Security Related Products contracts are those listed below:</w:t>
      </w:r>
    </w:p>
    <w:p w:rsidR="005E1BF4" w:rsidRPr="00B41FE1" w:rsidRDefault="005E1BF4">
      <w:pPr>
        <w:rPr>
          <w:rFonts w:ascii="Arial" w:hAnsi="Arial" w:cs="Arial"/>
        </w:rPr>
      </w:pPr>
      <w:r w:rsidRPr="00B41FE1">
        <w:rPr>
          <w:rFonts w:ascii="Arial" w:hAnsi="Arial" w:cs="Arial"/>
        </w:rPr>
        <w:br w:type="page"/>
      </w:r>
    </w:p>
    <w:p w:rsidR="005E1BF4" w:rsidRPr="00B41FE1" w:rsidRDefault="005E1BF4" w:rsidP="005E1BF4">
      <w:pPr>
        <w:spacing w:after="0" w:line="240" w:lineRule="auto"/>
        <w:rPr>
          <w:rFonts w:ascii="Arial" w:hAnsi="Arial" w:cs="Arial"/>
        </w:rPr>
      </w:pPr>
    </w:p>
    <w:p w:rsidR="005E1BF4" w:rsidRPr="00B41FE1" w:rsidRDefault="005E1BF4" w:rsidP="005E1BF4">
      <w:pPr>
        <w:pStyle w:val="Heading2"/>
        <w:numPr>
          <w:ilvl w:val="0"/>
          <w:numId w:val="0"/>
        </w:numPr>
        <w:ind w:right="0"/>
        <w:rPr>
          <w:rFonts w:eastAsia="Times New Roman"/>
        </w:rPr>
      </w:pPr>
      <w:r w:rsidRPr="00B41FE1">
        <w:rPr>
          <w:rFonts w:eastAsia="Times New Roman"/>
        </w:rPr>
        <w:t>“</w:t>
      </w:r>
      <w:bookmarkStart w:id="1" w:name="_Toc454283215"/>
      <w:r w:rsidRPr="00B41FE1">
        <w:rPr>
          <w:rFonts w:eastAsia="Times New Roman"/>
        </w:rPr>
        <w:t>8.3        Maintenance and Technical Support Services</w:t>
      </w:r>
      <w:bookmarkEnd w:id="1"/>
      <w:r w:rsidRPr="00B41FE1">
        <w:rPr>
          <w:rFonts w:eastAsia="Times New Roman"/>
        </w:rPr>
        <w:t xml:space="preserve"> </w:t>
      </w:r>
    </w:p>
    <w:p w:rsidR="005E1BF4" w:rsidRPr="00B41FE1" w:rsidRDefault="005E1BF4" w:rsidP="005E1BF4">
      <w:pPr>
        <w:autoSpaceDE w:val="0"/>
        <w:autoSpaceDN w:val="0"/>
        <w:spacing w:after="0" w:line="240" w:lineRule="auto"/>
        <w:ind w:left="360"/>
        <w:jc w:val="both"/>
        <w:rPr>
          <w:rFonts w:ascii="Arial" w:hAnsi="Arial" w:cs="Arial"/>
          <w:b/>
          <w:bCs/>
        </w:rPr>
      </w:pPr>
    </w:p>
    <w:p w:rsidR="005E1BF4" w:rsidRPr="00B41FE1" w:rsidRDefault="005E1BF4" w:rsidP="005E1BF4">
      <w:pPr>
        <w:autoSpaceDE w:val="0"/>
        <w:autoSpaceDN w:val="0"/>
        <w:spacing w:after="0" w:line="240" w:lineRule="auto"/>
        <w:ind w:left="360"/>
        <w:jc w:val="both"/>
        <w:rPr>
          <w:rFonts w:ascii="Arial" w:hAnsi="Arial" w:cs="Arial"/>
        </w:rPr>
      </w:pPr>
      <w:r w:rsidRPr="00B41FE1">
        <w:rPr>
          <w:rFonts w:ascii="Arial" w:hAnsi="Arial" w:cs="Arial"/>
          <w:b/>
          <w:bCs/>
        </w:rPr>
        <w:t xml:space="preserve">8.3.1          </w:t>
      </w:r>
      <w:r w:rsidRPr="00B41FE1">
        <w:rPr>
          <w:rFonts w:ascii="Arial" w:hAnsi="Arial" w:cs="Arial"/>
        </w:rPr>
        <w:t xml:space="preserve">Under the resulting Contract the </w:t>
      </w:r>
      <w:r w:rsidRPr="00B41FE1">
        <w:rPr>
          <w:rFonts w:ascii="Arial" w:hAnsi="Arial" w:cs="Arial"/>
          <w:color w:val="000000"/>
        </w:rPr>
        <w:t>Contractor shall provide</w:t>
      </w:r>
      <w:r w:rsidRPr="00B41FE1">
        <w:rPr>
          <w:rFonts w:ascii="Arial" w:hAnsi="Arial" w:cs="Arial"/>
        </w:rPr>
        <w:t xml:space="preserve"> Maintenance and Technical Support services.  These services shall be provided to any ordering State agency or governmental entity regardless of their physical location within the State.</w:t>
      </w:r>
    </w:p>
    <w:p w:rsidR="005E1BF4" w:rsidRPr="00B41FE1" w:rsidRDefault="005E1BF4" w:rsidP="005E1BF4">
      <w:pPr>
        <w:autoSpaceDE w:val="0"/>
        <w:autoSpaceDN w:val="0"/>
        <w:spacing w:after="0" w:line="240" w:lineRule="auto"/>
        <w:ind w:left="360"/>
        <w:jc w:val="both"/>
        <w:rPr>
          <w:rFonts w:ascii="Arial" w:hAnsi="Arial" w:cs="Arial"/>
          <w:color w:val="3366FF"/>
        </w:rPr>
      </w:pPr>
    </w:p>
    <w:p w:rsidR="005E1BF4" w:rsidRPr="00B41FE1" w:rsidRDefault="005E1BF4" w:rsidP="005E1BF4">
      <w:pPr>
        <w:autoSpaceDE w:val="0"/>
        <w:autoSpaceDN w:val="0"/>
        <w:spacing w:after="0" w:line="240" w:lineRule="auto"/>
        <w:ind w:left="360"/>
        <w:jc w:val="both"/>
        <w:rPr>
          <w:rFonts w:ascii="Arial" w:hAnsi="Arial" w:cs="Arial"/>
        </w:rPr>
      </w:pPr>
      <w:r w:rsidRPr="00B41FE1">
        <w:rPr>
          <w:rFonts w:ascii="Arial" w:hAnsi="Arial" w:cs="Arial"/>
        </w:rPr>
        <w:t>Maintenance means those preventive, diagnostic, updating, replacement, and repair procedures that a State agency or organization has in place. Maintenance can be provided either by persons who are employed by the State or through an outsourced contract. It includes documenting maintenance activities for applications or equipment. Specific maintenance items might include, but are not limited to:</w:t>
      </w:r>
    </w:p>
    <w:p w:rsidR="005E1BF4" w:rsidRPr="00B41FE1" w:rsidRDefault="005E1BF4" w:rsidP="005E1BF4">
      <w:pPr>
        <w:autoSpaceDE w:val="0"/>
        <w:autoSpaceDN w:val="0"/>
        <w:spacing w:after="0" w:line="240" w:lineRule="auto"/>
        <w:ind w:left="360"/>
        <w:jc w:val="both"/>
        <w:rPr>
          <w:rFonts w:ascii="Arial" w:hAnsi="Arial" w:cs="Arial"/>
        </w:rPr>
      </w:pP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Periodic replacement of parts and renewal of consumable supplies;</w:t>
      </w: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Repair or replacement of faulty components;</w:t>
      </w: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Periodic inspection and cleaning of equipment;</w:t>
      </w: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Updating or upgrading hardware and software, including installing new operating system versions;</w:t>
      </w: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Monitoring the condition and functionality of networks and equipment, including testing web site accesses and links; and</w:t>
      </w: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Installing and removing equipment and applications.</w:t>
      </w:r>
    </w:p>
    <w:p w:rsidR="005E1BF4" w:rsidRPr="00B41FE1" w:rsidRDefault="005E1BF4" w:rsidP="005E1BF4">
      <w:pPr>
        <w:autoSpaceDE w:val="0"/>
        <w:autoSpaceDN w:val="0"/>
        <w:spacing w:after="0" w:line="240" w:lineRule="auto"/>
        <w:ind w:left="720"/>
        <w:jc w:val="both"/>
        <w:rPr>
          <w:rFonts w:ascii="Arial" w:hAnsi="Arial" w:cs="Arial"/>
        </w:rPr>
      </w:pPr>
    </w:p>
    <w:p w:rsidR="005E1BF4" w:rsidRPr="00B41FE1" w:rsidRDefault="005E1BF4" w:rsidP="005E1BF4">
      <w:pPr>
        <w:autoSpaceDE w:val="0"/>
        <w:autoSpaceDN w:val="0"/>
        <w:spacing w:after="0" w:line="240" w:lineRule="auto"/>
        <w:ind w:left="360"/>
        <w:jc w:val="both"/>
        <w:rPr>
          <w:rFonts w:ascii="Arial" w:hAnsi="Arial" w:cs="Arial"/>
        </w:rPr>
      </w:pPr>
      <w:r w:rsidRPr="00B41FE1">
        <w:rPr>
          <w:rFonts w:ascii="Arial" w:hAnsi="Arial" w:cs="Arial"/>
        </w:rPr>
        <w:t>Technical Support refers to actions taken on behalf of agencies or organizations rather than to actions taken on equipment and systems. Support denotes activities that keep information asset users working or help users improve the ways they work. Included under support might be such items as:</w:t>
      </w:r>
    </w:p>
    <w:p w:rsidR="005E1BF4" w:rsidRPr="00B41FE1" w:rsidRDefault="005E1BF4" w:rsidP="005E1BF4">
      <w:pPr>
        <w:autoSpaceDE w:val="0"/>
        <w:autoSpaceDN w:val="0"/>
        <w:spacing w:after="0" w:line="240" w:lineRule="auto"/>
        <w:ind w:left="360"/>
        <w:jc w:val="both"/>
        <w:rPr>
          <w:rFonts w:ascii="Arial" w:hAnsi="Arial" w:cs="Arial"/>
        </w:rPr>
      </w:pP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Help desks and other forms of putting a person in touch with another person to resolve a problem or provide advice;</w:t>
      </w: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Automated information systems, such as searchable frequently-asked-question (FAQ) databases or newsletters;</w:t>
      </w: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Initial training and familiarization tours for equipment and software, whether automated or conducted by a human;</w:t>
      </w: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Instructional and curriculum integration support; and</w:t>
      </w: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             Technology integration support for information assets, usually conducted through specialized consultants or software/systems vendors.</w:t>
      </w:r>
    </w:p>
    <w:p w:rsidR="005E1BF4" w:rsidRPr="00B41FE1" w:rsidRDefault="005E1BF4" w:rsidP="005E1BF4">
      <w:pPr>
        <w:autoSpaceDE w:val="0"/>
        <w:autoSpaceDN w:val="0"/>
        <w:spacing w:after="0" w:line="240" w:lineRule="auto"/>
        <w:ind w:left="720"/>
        <w:jc w:val="both"/>
        <w:rPr>
          <w:rFonts w:ascii="Arial" w:hAnsi="Arial" w:cs="Arial"/>
        </w:rPr>
      </w:pPr>
      <w:r w:rsidRPr="00B41FE1">
        <w:rPr>
          <w:rFonts w:ascii="Arial" w:hAnsi="Arial" w:cs="Arial"/>
        </w:rPr>
        <w:t>As with maintenance, support can be delivered through a variety of mechanisms, including in-house technology specialists or outsourced contracts.”</w:t>
      </w:r>
    </w:p>
    <w:p w:rsidR="005E1BF4" w:rsidRPr="00B41FE1" w:rsidRDefault="005E1BF4" w:rsidP="005E1BF4">
      <w:pPr>
        <w:autoSpaceDE w:val="0"/>
        <w:autoSpaceDN w:val="0"/>
        <w:spacing w:after="0" w:line="240" w:lineRule="auto"/>
        <w:jc w:val="both"/>
        <w:rPr>
          <w:rFonts w:ascii="Arial" w:hAnsi="Arial" w:cs="Arial"/>
        </w:rPr>
      </w:pPr>
    </w:p>
    <w:p w:rsidR="005E1BF4" w:rsidRPr="00B41FE1" w:rsidRDefault="005E1BF4" w:rsidP="005E1BF4">
      <w:pPr>
        <w:autoSpaceDE w:val="0"/>
        <w:autoSpaceDN w:val="0"/>
        <w:spacing w:after="0" w:line="240" w:lineRule="auto"/>
        <w:jc w:val="both"/>
        <w:rPr>
          <w:rFonts w:ascii="Arial" w:hAnsi="Arial" w:cs="Arial"/>
        </w:rPr>
      </w:pPr>
    </w:p>
    <w:p w:rsidR="005E1BF4" w:rsidRPr="00B41FE1" w:rsidRDefault="005E1BF4" w:rsidP="005E1BF4">
      <w:pPr>
        <w:autoSpaceDE w:val="0"/>
        <w:autoSpaceDN w:val="0"/>
        <w:spacing w:after="0" w:line="240" w:lineRule="auto"/>
        <w:jc w:val="both"/>
        <w:rPr>
          <w:rFonts w:ascii="Arial" w:hAnsi="Arial" w:cs="Arial"/>
        </w:rPr>
      </w:pPr>
    </w:p>
    <w:p w:rsidR="005E1BF4" w:rsidRPr="00B41FE1" w:rsidRDefault="005E1BF4" w:rsidP="005E1BF4">
      <w:pPr>
        <w:autoSpaceDE w:val="0"/>
        <w:autoSpaceDN w:val="0"/>
        <w:spacing w:after="0" w:line="240" w:lineRule="auto"/>
        <w:jc w:val="both"/>
        <w:rPr>
          <w:rFonts w:ascii="Arial" w:hAnsi="Arial" w:cs="Arial"/>
        </w:rPr>
      </w:pPr>
      <w:r w:rsidRPr="00B41FE1">
        <w:rPr>
          <w:rFonts w:ascii="Arial" w:hAnsi="Arial" w:cs="Arial"/>
        </w:rPr>
        <w:t>“</w:t>
      </w:r>
      <w:r w:rsidRPr="00B41FE1">
        <w:rPr>
          <w:rFonts w:ascii="Arial" w:hAnsi="Arial" w:cs="Arial"/>
          <w:b/>
          <w:bCs/>
        </w:rPr>
        <w:t xml:space="preserve">8.1.3    </w:t>
      </w:r>
      <w:r w:rsidRPr="00B41FE1">
        <w:rPr>
          <w:rFonts w:ascii="Arial" w:hAnsi="Arial" w:cs="Arial"/>
        </w:rPr>
        <w:t>Pre-sales engineering and post-sales installation support at no additional charge.”</w:t>
      </w:r>
    </w:p>
    <w:p w:rsidR="005E1BF4" w:rsidRPr="00B41FE1" w:rsidRDefault="005E1BF4" w:rsidP="005E1BF4">
      <w:pPr>
        <w:autoSpaceDE w:val="0"/>
        <w:autoSpaceDN w:val="0"/>
        <w:spacing w:after="0" w:line="240" w:lineRule="auto"/>
        <w:jc w:val="both"/>
        <w:rPr>
          <w:rFonts w:ascii="Arial" w:hAnsi="Arial" w:cs="Arial"/>
        </w:rPr>
      </w:pPr>
    </w:p>
    <w:p w:rsidR="005E1BF4" w:rsidRPr="00B41FE1" w:rsidRDefault="005E1BF4" w:rsidP="005E1BF4">
      <w:pPr>
        <w:pStyle w:val="ListParagraph"/>
        <w:spacing w:after="0" w:line="240" w:lineRule="auto"/>
        <w:ind w:left="0"/>
        <w:rPr>
          <w:rFonts w:ascii="Arial" w:hAnsi="Arial" w:cs="Arial"/>
        </w:rPr>
      </w:pPr>
      <w:r w:rsidRPr="00B41FE1">
        <w:rPr>
          <w:rFonts w:ascii="Arial" w:hAnsi="Arial" w:cs="Arial"/>
        </w:rPr>
        <w:t>“</w:t>
      </w:r>
      <w:r w:rsidRPr="00B41FE1">
        <w:rPr>
          <w:rFonts w:ascii="Arial" w:hAnsi="Arial" w:cs="Arial"/>
          <w:b/>
          <w:bCs/>
        </w:rPr>
        <w:t>Pre-sales engineering</w:t>
      </w:r>
      <w:r w:rsidRPr="00B41FE1">
        <w:rPr>
          <w:rFonts w:ascii="Arial" w:hAnsi="Arial" w:cs="Arial"/>
        </w:rPr>
        <w:t xml:space="preserve"> - </w:t>
      </w:r>
      <w:r w:rsidRPr="00B41FE1">
        <w:rPr>
          <w:rFonts w:ascii="Arial" w:hAnsi="Arial" w:cs="Arial"/>
          <w:color w:val="000000"/>
        </w:rPr>
        <w:t>While this is not a capitalized term in this ITB, save for in this Appendix, pre-sales engineering shall mean the following: D</w:t>
      </w:r>
      <w:r w:rsidRPr="00B41FE1">
        <w:rPr>
          <w:rFonts w:ascii="Arial" w:hAnsi="Arial" w:cs="Arial"/>
        </w:rPr>
        <w:t>iscovery, analysis, and definition of an agency’s requirements to determine what solution and design are best for their environment.”</w:t>
      </w:r>
    </w:p>
    <w:p w:rsidR="005E1BF4" w:rsidRPr="00B41FE1" w:rsidRDefault="005E1BF4" w:rsidP="005E1BF4">
      <w:pPr>
        <w:pStyle w:val="ListParagraph"/>
        <w:spacing w:after="0" w:line="240" w:lineRule="auto"/>
        <w:ind w:left="0"/>
        <w:rPr>
          <w:rFonts w:ascii="Arial" w:hAnsi="Arial" w:cs="Arial"/>
        </w:rPr>
      </w:pPr>
    </w:p>
    <w:p w:rsidR="005E1BF4" w:rsidRPr="00B41FE1" w:rsidRDefault="005E1BF4" w:rsidP="005E1BF4">
      <w:pPr>
        <w:spacing w:after="0" w:line="240" w:lineRule="auto"/>
        <w:jc w:val="both"/>
        <w:rPr>
          <w:rFonts w:ascii="Arial" w:hAnsi="Arial" w:cs="Arial"/>
          <w:color w:val="000000"/>
        </w:rPr>
      </w:pPr>
      <w:r w:rsidRPr="00B41FE1">
        <w:rPr>
          <w:rFonts w:ascii="Arial" w:hAnsi="Arial" w:cs="Arial"/>
        </w:rPr>
        <w:t>“</w:t>
      </w:r>
      <w:r w:rsidRPr="00B41FE1">
        <w:rPr>
          <w:rFonts w:ascii="Arial" w:hAnsi="Arial" w:cs="Arial"/>
          <w:b/>
          <w:bCs/>
          <w:color w:val="000000"/>
        </w:rPr>
        <w:t>Post-Sales Installation Support</w:t>
      </w:r>
      <w:r w:rsidRPr="00B41FE1">
        <w:rPr>
          <w:rFonts w:ascii="Arial" w:hAnsi="Arial" w:cs="Arial"/>
          <w:color w:val="000000"/>
        </w:rPr>
        <w:t xml:space="preserve"> – While this is not a capitalized term in this ITB, save for in this Appendix, post-sales installation support shall mean the following:</w:t>
      </w:r>
    </w:p>
    <w:p w:rsidR="005E1BF4" w:rsidRPr="00B41FE1" w:rsidRDefault="005E1BF4" w:rsidP="005E1BF4">
      <w:pPr>
        <w:spacing w:after="0" w:line="240" w:lineRule="auto"/>
        <w:jc w:val="both"/>
        <w:rPr>
          <w:rFonts w:ascii="Arial" w:hAnsi="Arial" w:cs="Arial"/>
          <w:color w:val="000000"/>
        </w:rPr>
      </w:pPr>
    </w:p>
    <w:p w:rsidR="005E1BF4" w:rsidRPr="00B41FE1" w:rsidRDefault="005E1BF4" w:rsidP="005E1BF4">
      <w:pPr>
        <w:spacing w:after="0" w:line="240" w:lineRule="auto"/>
        <w:ind w:left="360"/>
        <w:jc w:val="both"/>
        <w:rPr>
          <w:rFonts w:ascii="Arial" w:hAnsi="Arial" w:cs="Arial"/>
          <w:color w:val="000000"/>
        </w:rPr>
      </w:pPr>
      <w:r w:rsidRPr="00B41FE1">
        <w:rPr>
          <w:rFonts w:ascii="Arial" w:hAnsi="Arial" w:cs="Arial"/>
          <w:color w:val="000000"/>
        </w:rPr>
        <w:lastRenderedPageBreak/>
        <w:t>•     Assisting IT staff with installing* the equipment or Software to the point that the IT management accepts the installation (* installation of equipment shall include, at a minimum, assisting IT staff with placing equipment on a rack, powering on the equipment, ensuring any administrator interface is functioning properly and providing an IT staff member with any necessary administrator accounts);</w:t>
      </w:r>
    </w:p>
    <w:p w:rsidR="005E1BF4" w:rsidRPr="00B41FE1" w:rsidRDefault="005E1BF4" w:rsidP="005E1BF4">
      <w:pPr>
        <w:spacing w:after="0" w:line="240" w:lineRule="auto"/>
        <w:ind w:left="360"/>
        <w:jc w:val="both"/>
        <w:rPr>
          <w:rFonts w:ascii="Arial" w:hAnsi="Arial" w:cs="Arial"/>
          <w:color w:val="000000"/>
        </w:rPr>
      </w:pPr>
      <w:r w:rsidRPr="00B41FE1">
        <w:rPr>
          <w:rFonts w:ascii="Arial" w:hAnsi="Arial" w:cs="Arial"/>
          <w:color w:val="000000"/>
        </w:rPr>
        <w:t>•     Or, if requested by an agency, training identified IT staff on how to install equipment or Software, with as-needed phone support, to the point that IT management accepts the installation.</w:t>
      </w:r>
    </w:p>
    <w:p w:rsidR="005E1BF4" w:rsidRPr="00B41FE1" w:rsidRDefault="005E1BF4" w:rsidP="005E1BF4">
      <w:pPr>
        <w:spacing w:after="0" w:line="240" w:lineRule="auto"/>
        <w:ind w:left="360"/>
        <w:jc w:val="both"/>
        <w:rPr>
          <w:rFonts w:ascii="Arial" w:hAnsi="Arial" w:cs="Arial"/>
          <w:color w:val="000000"/>
        </w:rPr>
      </w:pPr>
      <w:r w:rsidRPr="00B41FE1">
        <w:rPr>
          <w:rFonts w:ascii="Arial" w:hAnsi="Arial" w:cs="Arial"/>
          <w:color w:val="000000"/>
        </w:rPr>
        <w:t>•     Post-sales installation support does not include creating the project plan or configuring the solution, but the agency IT staff should be left with an understanding of how to configure it for their agency.</w:t>
      </w:r>
      <w:r w:rsidRPr="00B41FE1">
        <w:rPr>
          <w:rFonts w:ascii="Arial" w:hAnsi="Arial" w:cs="Arial"/>
        </w:rPr>
        <w:t>”</w:t>
      </w:r>
    </w:p>
    <w:p w:rsidR="005E1BF4" w:rsidRPr="00B41FE1" w:rsidRDefault="005E1BF4" w:rsidP="005E1BF4">
      <w:pPr>
        <w:autoSpaceDE w:val="0"/>
        <w:autoSpaceDN w:val="0"/>
        <w:adjustRightInd w:val="0"/>
        <w:spacing w:after="0" w:line="240" w:lineRule="auto"/>
        <w:ind w:left="360"/>
        <w:rPr>
          <w:rFonts w:ascii="Arial" w:hAnsi="Arial" w:cs="Arial"/>
          <w:color w:val="000000"/>
        </w:rPr>
      </w:pPr>
    </w:p>
    <w:p w:rsidR="00DD73F7" w:rsidRPr="00B41FE1" w:rsidRDefault="00DD73F7" w:rsidP="005E1BF4">
      <w:pPr>
        <w:autoSpaceDE w:val="0"/>
        <w:autoSpaceDN w:val="0"/>
        <w:adjustRightInd w:val="0"/>
        <w:spacing w:after="0" w:line="240" w:lineRule="auto"/>
        <w:rPr>
          <w:rFonts w:ascii="Arial" w:hAnsi="Arial" w:cs="Arial"/>
          <w:bCs/>
        </w:rPr>
      </w:pPr>
    </w:p>
    <w:sectPr w:rsidR="00DD73F7" w:rsidRPr="00B41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1100"/>
    <w:multiLevelType w:val="hybridMultilevel"/>
    <w:tmpl w:val="D38AD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923509"/>
    <w:multiLevelType w:val="multilevel"/>
    <w:tmpl w:val="D542E6AA"/>
    <w:lvl w:ilvl="0">
      <w:start w:val="1"/>
      <w:numFmt w:val="decimal"/>
      <w:pStyle w:val="Heading1"/>
      <w:lvlText w:val="%1"/>
      <w:lvlJc w:val="left"/>
      <w:pPr>
        <w:ind w:left="522" w:hanging="432"/>
      </w:pPr>
      <w:rPr>
        <w:b/>
        <w:i w:val="0"/>
        <w:color w:val="auto"/>
      </w:rPr>
    </w:lvl>
    <w:lvl w:ilvl="1">
      <w:start w:val="1"/>
      <w:numFmt w:val="decimal"/>
      <w:pStyle w:val="Heading2"/>
      <w:lvlText w:val="%1.%2"/>
      <w:lvlJc w:val="left"/>
      <w:pPr>
        <w:ind w:left="576" w:hanging="576"/>
      </w:pPr>
      <w:rPr>
        <w:b/>
        <w:i w:val="0"/>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86A"/>
    <w:rsid w:val="0006118F"/>
    <w:rsid w:val="000F2FF4"/>
    <w:rsid w:val="000F3088"/>
    <w:rsid w:val="00551873"/>
    <w:rsid w:val="005E1BF4"/>
    <w:rsid w:val="0062286A"/>
    <w:rsid w:val="006D3A7E"/>
    <w:rsid w:val="007C08AA"/>
    <w:rsid w:val="008E6B8A"/>
    <w:rsid w:val="00A93244"/>
    <w:rsid w:val="00B41FE1"/>
    <w:rsid w:val="00BB44C7"/>
    <w:rsid w:val="00BE0D4D"/>
    <w:rsid w:val="00C06BC1"/>
    <w:rsid w:val="00D3401C"/>
    <w:rsid w:val="00DD73F7"/>
    <w:rsid w:val="00E166D3"/>
    <w:rsid w:val="00FA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EBEF"/>
  <w15:chartTrackingRefBased/>
  <w15:docId w15:val="{2103811B-C45C-4901-92C2-A7096D7D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E1BF4"/>
    <w:pPr>
      <w:numPr>
        <w:numId w:val="2"/>
      </w:numPr>
      <w:spacing w:after="0" w:line="240" w:lineRule="auto"/>
      <w:ind w:right="-360"/>
      <w:outlineLvl w:val="0"/>
    </w:pPr>
    <w:rPr>
      <w:rFonts w:ascii="Calibri" w:hAnsi="Calibri" w:cs="Calibri"/>
      <w:b/>
      <w:bCs/>
      <w:caps/>
      <w:color w:val="000000"/>
      <w:kern w:val="36"/>
    </w:rPr>
  </w:style>
  <w:style w:type="paragraph" w:styleId="Heading2">
    <w:name w:val="heading 2"/>
    <w:basedOn w:val="Normal"/>
    <w:link w:val="Heading2Char"/>
    <w:uiPriority w:val="9"/>
    <w:semiHidden/>
    <w:unhideWhenUsed/>
    <w:qFormat/>
    <w:rsid w:val="005E1BF4"/>
    <w:pPr>
      <w:numPr>
        <w:ilvl w:val="1"/>
        <w:numId w:val="2"/>
      </w:numPr>
      <w:spacing w:after="0" w:line="240" w:lineRule="auto"/>
      <w:ind w:right="-360"/>
      <w:outlineLvl w:val="1"/>
    </w:pPr>
    <w:rPr>
      <w:rFonts w:ascii="Arial" w:hAnsi="Arial" w:cs="Arial"/>
      <w:b/>
      <w:bCs/>
    </w:rPr>
  </w:style>
  <w:style w:type="paragraph" w:styleId="Heading3">
    <w:name w:val="heading 3"/>
    <w:basedOn w:val="Normal"/>
    <w:link w:val="Heading3Char"/>
    <w:uiPriority w:val="9"/>
    <w:semiHidden/>
    <w:unhideWhenUsed/>
    <w:qFormat/>
    <w:rsid w:val="005E1BF4"/>
    <w:pPr>
      <w:keepNext/>
      <w:numPr>
        <w:ilvl w:val="2"/>
        <w:numId w:val="2"/>
      </w:numPr>
      <w:spacing w:after="0" w:line="240" w:lineRule="auto"/>
      <w:ind w:right="-360"/>
      <w:outlineLvl w:val="2"/>
    </w:pPr>
    <w:rPr>
      <w:rFonts w:ascii="Arial" w:hAnsi="Arial" w:cs="Arial"/>
      <w:b/>
      <w:bCs/>
      <w:color w:val="000000"/>
    </w:rPr>
  </w:style>
  <w:style w:type="paragraph" w:styleId="Heading4">
    <w:name w:val="heading 4"/>
    <w:basedOn w:val="Normal"/>
    <w:link w:val="Heading4Char"/>
    <w:uiPriority w:val="9"/>
    <w:semiHidden/>
    <w:unhideWhenUsed/>
    <w:qFormat/>
    <w:rsid w:val="005E1BF4"/>
    <w:pPr>
      <w:keepNext/>
      <w:numPr>
        <w:ilvl w:val="3"/>
        <w:numId w:val="2"/>
      </w:numPr>
      <w:spacing w:before="240" w:after="60" w:line="240" w:lineRule="auto"/>
      <w:ind w:right="-360"/>
      <w:outlineLvl w:val="3"/>
    </w:pPr>
    <w:rPr>
      <w:rFonts w:ascii="Calibri" w:hAnsi="Calibri" w:cs="Calibri"/>
      <w:b/>
      <w:bCs/>
      <w:sz w:val="28"/>
      <w:szCs w:val="28"/>
    </w:rPr>
  </w:style>
  <w:style w:type="paragraph" w:styleId="Heading5">
    <w:name w:val="heading 5"/>
    <w:basedOn w:val="Normal"/>
    <w:link w:val="Heading5Char"/>
    <w:uiPriority w:val="9"/>
    <w:semiHidden/>
    <w:unhideWhenUsed/>
    <w:qFormat/>
    <w:rsid w:val="005E1BF4"/>
    <w:pPr>
      <w:keepNext/>
      <w:numPr>
        <w:ilvl w:val="4"/>
        <w:numId w:val="2"/>
      </w:numPr>
      <w:spacing w:after="0" w:line="240" w:lineRule="auto"/>
      <w:ind w:right="-360"/>
      <w:outlineLvl w:val="4"/>
    </w:pPr>
    <w:rPr>
      <w:rFonts w:ascii="Arial" w:hAnsi="Arial" w:cs="Arial"/>
      <w:b/>
      <w:bCs/>
      <w:color w:val="000000"/>
      <w:u w:val="single"/>
    </w:rPr>
  </w:style>
  <w:style w:type="paragraph" w:styleId="Heading6">
    <w:name w:val="heading 6"/>
    <w:basedOn w:val="Normal"/>
    <w:link w:val="Heading6Char"/>
    <w:uiPriority w:val="9"/>
    <w:semiHidden/>
    <w:unhideWhenUsed/>
    <w:qFormat/>
    <w:rsid w:val="005E1BF4"/>
    <w:pPr>
      <w:numPr>
        <w:ilvl w:val="5"/>
        <w:numId w:val="2"/>
      </w:numPr>
      <w:spacing w:before="240" w:after="60" w:line="240" w:lineRule="auto"/>
      <w:ind w:right="-360"/>
      <w:outlineLvl w:val="5"/>
    </w:pPr>
    <w:rPr>
      <w:rFonts w:ascii="Calibri" w:hAnsi="Calibri" w:cs="Calibri"/>
      <w:b/>
      <w:bCs/>
    </w:rPr>
  </w:style>
  <w:style w:type="paragraph" w:styleId="Heading7">
    <w:name w:val="heading 7"/>
    <w:basedOn w:val="Normal"/>
    <w:link w:val="Heading7Char"/>
    <w:uiPriority w:val="9"/>
    <w:semiHidden/>
    <w:unhideWhenUsed/>
    <w:qFormat/>
    <w:rsid w:val="005E1BF4"/>
    <w:pPr>
      <w:numPr>
        <w:ilvl w:val="6"/>
        <w:numId w:val="2"/>
      </w:numPr>
      <w:spacing w:before="240" w:after="60" w:line="240" w:lineRule="auto"/>
      <w:ind w:right="-360"/>
      <w:outlineLvl w:val="6"/>
    </w:pPr>
    <w:rPr>
      <w:rFonts w:ascii="Calibri" w:hAnsi="Calibri" w:cs="Calibri"/>
    </w:rPr>
  </w:style>
  <w:style w:type="paragraph" w:styleId="Heading8">
    <w:name w:val="heading 8"/>
    <w:basedOn w:val="Normal"/>
    <w:link w:val="Heading8Char"/>
    <w:uiPriority w:val="9"/>
    <w:semiHidden/>
    <w:unhideWhenUsed/>
    <w:qFormat/>
    <w:rsid w:val="005E1BF4"/>
    <w:pPr>
      <w:numPr>
        <w:ilvl w:val="7"/>
        <w:numId w:val="2"/>
      </w:numPr>
      <w:spacing w:before="240" w:after="60" w:line="240" w:lineRule="auto"/>
      <w:ind w:right="-360"/>
      <w:outlineLvl w:val="7"/>
    </w:pPr>
    <w:rPr>
      <w:rFonts w:ascii="Calibri" w:hAnsi="Calibri" w:cs="Calibri"/>
      <w:i/>
      <w:iCs/>
    </w:rPr>
  </w:style>
  <w:style w:type="paragraph" w:styleId="Heading9">
    <w:name w:val="heading 9"/>
    <w:basedOn w:val="Normal"/>
    <w:link w:val="Heading9Char"/>
    <w:uiPriority w:val="9"/>
    <w:semiHidden/>
    <w:unhideWhenUsed/>
    <w:qFormat/>
    <w:rsid w:val="005E1BF4"/>
    <w:pPr>
      <w:numPr>
        <w:ilvl w:val="8"/>
        <w:numId w:val="2"/>
      </w:numPr>
      <w:spacing w:before="240" w:after="60" w:line="240" w:lineRule="auto"/>
      <w:ind w:right="-360"/>
      <w:outlineLvl w:val="8"/>
    </w:pPr>
    <w:rPr>
      <w:rFonts w:ascii="Cambria" w:hAnsi="Cambria"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A7E"/>
    <w:rPr>
      <w:color w:val="0000FF" w:themeColor="hyperlink"/>
      <w:u w:val="single"/>
    </w:rPr>
  </w:style>
  <w:style w:type="character" w:styleId="FollowedHyperlink">
    <w:name w:val="FollowedHyperlink"/>
    <w:basedOn w:val="DefaultParagraphFont"/>
    <w:uiPriority w:val="99"/>
    <w:semiHidden/>
    <w:unhideWhenUsed/>
    <w:rsid w:val="006D3A7E"/>
    <w:rPr>
      <w:color w:val="800080" w:themeColor="followedHyperlink"/>
      <w:u w:val="single"/>
    </w:rPr>
  </w:style>
  <w:style w:type="paragraph" w:styleId="ListParagraph">
    <w:name w:val="List Paragraph"/>
    <w:basedOn w:val="Normal"/>
    <w:uiPriority w:val="34"/>
    <w:qFormat/>
    <w:rsid w:val="006D3A7E"/>
    <w:pPr>
      <w:ind w:left="720"/>
      <w:contextualSpacing/>
    </w:pPr>
  </w:style>
  <w:style w:type="character" w:customStyle="1" w:styleId="Heading1Char">
    <w:name w:val="Heading 1 Char"/>
    <w:basedOn w:val="DefaultParagraphFont"/>
    <w:link w:val="Heading1"/>
    <w:uiPriority w:val="9"/>
    <w:rsid w:val="005E1BF4"/>
    <w:rPr>
      <w:rFonts w:ascii="Calibri" w:hAnsi="Calibri" w:cs="Calibri"/>
      <w:b/>
      <w:bCs/>
      <w:caps/>
      <w:color w:val="000000"/>
      <w:kern w:val="36"/>
    </w:rPr>
  </w:style>
  <w:style w:type="character" w:customStyle="1" w:styleId="Heading2Char">
    <w:name w:val="Heading 2 Char"/>
    <w:basedOn w:val="DefaultParagraphFont"/>
    <w:link w:val="Heading2"/>
    <w:uiPriority w:val="9"/>
    <w:semiHidden/>
    <w:rsid w:val="005E1BF4"/>
    <w:rPr>
      <w:rFonts w:ascii="Arial" w:hAnsi="Arial" w:cs="Arial"/>
      <w:b/>
      <w:bCs/>
    </w:rPr>
  </w:style>
  <w:style w:type="character" w:customStyle="1" w:styleId="Heading3Char">
    <w:name w:val="Heading 3 Char"/>
    <w:basedOn w:val="DefaultParagraphFont"/>
    <w:link w:val="Heading3"/>
    <w:uiPriority w:val="9"/>
    <w:semiHidden/>
    <w:rsid w:val="005E1BF4"/>
    <w:rPr>
      <w:rFonts w:ascii="Arial" w:hAnsi="Arial" w:cs="Arial"/>
      <w:b/>
      <w:bCs/>
      <w:color w:val="000000"/>
    </w:rPr>
  </w:style>
  <w:style w:type="character" w:customStyle="1" w:styleId="Heading4Char">
    <w:name w:val="Heading 4 Char"/>
    <w:basedOn w:val="DefaultParagraphFont"/>
    <w:link w:val="Heading4"/>
    <w:uiPriority w:val="9"/>
    <w:semiHidden/>
    <w:rsid w:val="005E1BF4"/>
    <w:rPr>
      <w:rFonts w:ascii="Calibri" w:hAnsi="Calibri" w:cs="Calibri"/>
      <w:b/>
      <w:bCs/>
      <w:sz w:val="28"/>
      <w:szCs w:val="28"/>
    </w:rPr>
  </w:style>
  <w:style w:type="character" w:customStyle="1" w:styleId="Heading5Char">
    <w:name w:val="Heading 5 Char"/>
    <w:basedOn w:val="DefaultParagraphFont"/>
    <w:link w:val="Heading5"/>
    <w:uiPriority w:val="9"/>
    <w:semiHidden/>
    <w:rsid w:val="005E1BF4"/>
    <w:rPr>
      <w:rFonts w:ascii="Arial" w:hAnsi="Arial" w:cs="Arial"/>
      <w:b/>
      <w:bCs/>
      <w:color w:val="000000"/>
      <w:u w:val="single"/>
    </w:rPr>
  </w:style>
  <w:style w:type="character" w:customStyle="1" w:styleId="Heading6Char">
    <w:name w:val="Heading 6 Char"/>
    <w:basedOn w:val="DefaultParagraphFont"/>
    <w:link w:val="Heading6"/>
    <w:uiPriority w:val="9"/>
    <w:semiHidden/>
    <w:rsid w:val="005E1BF4"/>
    <w:rPr>
      <w:rFonts w:ascii="Calibri" w:hAnsi="Calibri" w:cs="Calibri"/>
      <w:b/>
      <w:bCs/>
    </w:rPr>
  </w:style>
  <w:style w:type="character" w:customStyle="1" w:styleId="Heading7Char">
    <w:name w:val="Heading 7 Char"/>
    <w:basedOn w:val="DefaultParagraphFont"/>
    <w:link w:val="Heading7"/>
    <w:uiPriority w:val="9"/>
    <w:semiHidden/>
    <w:rsid w:val="005E1BF4"/>
    <w:rPr>
      <w:rFonts w:ascii="Calibri" w:hAnsi="Calibri" w:cs="Calibri"/>
    </w:rPr>
  </w:style>
  <w:style w:type="character" w:customStyle="1" w:styleId="Heading8Char">
    <w:name w:val="Heading 8 Char"/>
    <w:basedOn w:val="DefaultParagraphFont"/>
    <w:link w:val="Heading8"/>
    <w:uiPriority w:val="9"/>
    <w:semiHidden/>
    <w:rsid w:val="005E1BF4"/>
    <w:rPr>
      <w:rFonts w:ascii="Calibri" w:hAnsi="Calibri" w:cs="Calibri"/>
      <w:i/>
      <w:iCs/>
    </w:rPr>
  </w:style>
  <w:style w:type="character" w:customStyle="1" w:styleId="Heading9Char">
    <w:name w:val="Heading 9 Char"/>
    <w:basedOn w:val="DefaultParagraphFont"/>
    <w:link w:val="Heading9"/>
    <w:uiPriority w:val="9"/>
    <w:semiHidden/>
    <w:rsid w:val="005E1BF4"/>
    <w:rPr>
      <w:rFonts w:ascii="Cambria" w:hAnsi="Cambr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rchasing.idaho.gov/statewide_contrac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Urquhart</dc:creator>
  <cp:keywords/>
  <dc:description/>
  <cp:lastModifiedBy>Jason Urquhart</cp:lastModifiedBy>
  <cp:revision>4</cp:revision>
  <dcterms:created xsi:type="dcterms:W3CDTF">2019-03-08T14:18:00Z</dcterms:created>
  <dcterms:modified xsi:type="dcterms:W3CDTF">2019-03-08T14:22:00Z</dcterms:modified>
</cp:coreProperties>
</file>